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89" w:rsidRDefault="008249A4" w:rsidP="008249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8249A4" w:rsidRDefault="008249A4" w:rsidP="008249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Лебяжьевского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8249A4" w:rsidRDefault="00A60C53" w:rsidP="008249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Курганской области</w:t>
      </w:r>
    </w:p>
    <w:p w:rsidR="008249A4" w:rsidRDefault="008249A4" w:rsidP="008249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A60C53">
        <w:rPr>
          <w:rFonts w:ascii="Times New Roman" w:hAnsi="Times New Roman" w:cs="Times New Roman"/>
        </w:rPr>
        <w:t>И. В. Фадеева</w:t>
      </w:r>
    </w:p>
    <w:p w:rsidR="008249A4" w:rsidRDefault="008249A4" w:rsidP="008249A4">
      <w:pPr>
        <w:jc w:val="right"/>
        <w:rPr>
          <w:rFonts w:ascii="Times New Roman" w:hAnsi="Times New Roman" w:cs="Times New Roman"/>
        </w:rPr>
      </w:pPr>
    </w:p>
    <w:p w:rsidR="008249A4" w:rsidRPr="008249A4" w:rsidRDefault="008249A4" w:rsidP="008249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4DF2">
        <w:rPr>
          <w:rFonts w:ascii="Times New Roman" w:hAnsi="Times New Roman" w:cs="Times New Roman"/>
        </w:rPr>
        <w:t xml:space="preserve"> </w:t>
      </w:r>
      <w:r w:rsidR="00A44DF2" w:rsidRPr="00A44DF2">
        <w:rPr>
          <w:rFonts w:ascii="Times New Roman" w:hAnsi="Times New Roman" w:cs="Times New Roman"/>
          <w:u w:val="single"/>
        </w:rPr>
        <w:t>20</w:t>
      </w:r>
      <w:r w:rsidR="00A44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</w:t>
      </w:r>
      <w:r w:rsidR="00F74D6D">
        <w:rPr>
          <w:rFonts w:ascii="Times New Roman" w:hAnsi="Times New Roman" w:cs="Times New Roman"/>
        </w:rPr>
        <w:t xml:space="preserve"> </w:t>
      </w:r>
      <w:r w:rsidR="00A44DF2" w:rsidRPr="00A44DF2">
        <w:rPr>
          <w:rFonts w:ascii="Times New Roman" w:hAnsi="Times New Roman" w:cs="Times New Roman"/>
          <w:u w:val="single"/>
        </w:rPr>
        <w:t>декабря</w:t>
      </w:r>
      <w:r w:rsidR="00A44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A60C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8249A4" w:rsidRDefault="008249A4"/>
    <w:p w:rsidR="008249A4" w:rsidRDefault="008249A4" w:rsidP="008249A4">
      <w:pPr>
        <w:pStyle w:val="20"/>
        <w:shd w:val="clear" w:color="auto" w:fill="auto"/>
        <w:ind w:left="7160"/>
      </w:pPr>
      <w:r>
        <w:rPr>
          <w:color w:val="000000"/>
          <w:lang w:eastAsia="ru-RU" w:bidi="ru-RU"/>
        </w:rPr>
        <w:t>ПЛАН</w:t>
      </w:r>
    </w:p>
    <w:p w:rsidR="008249A4" w:rsidRDefault="008249A4" w:rsidP="008249A4">
      <w:pPr>
        <w:pStyle w:val="20"/>
        <w:shd w:val="clear" w:color="auto" w:fill="auto"/>
        <w:ind w:right="300"/>
        <w:jc w:val="center"/>
      </w:pPr>
      <w:r>
        <w:rPr>
          <w:color w:val="000000"/>
          <w:lang w:eastAsia="ru-RU" w:bidi="ru-RU"/>
        </w:rPr>
        <w:t xml:space="preserve">мероприятий («дорожная карта») по снижению </w:t>
      </w:r>
      <w:proofErr w:type="spellStart"/>
      <w:r>
        <w:rPr>
          <w:color w:val="000000"/>
          <w:lang w:eastAsia="ru-RU" w:bidi="ru-RU"/>
        </w:rPr>
        <w:t>комплаенс-рисков</w:t>
      </w:r>
      <w:proofErr w:type="spellEnd"/>
      <w:r>
        <w:rPr>
          <w:color w:val="000000"/>
          <w:lang w:eastAsia="ru-RU" w:bidi="ru-RU"/>
        </w:rPr>
        <w:t xml:space="preserve"> в</w:t>
      </w:r>
      <w:r>
        <w:rPr>
          <w:color w:val="000000"/>
          <w:lang w:eastAsia="ru-RU" w:bidi="ru-RU"/>
        </w:rPr>
        <w:br/>
      </w:r>
      <w:proofErr w:type="spellStart"/>
      <w:r>
        <w:t>Лебяжьевс</w:t>
      </w:r>
      <w:r w:rsidR="00304A34">
        <w:t>ком</w:t>
      </w:r>
      <w:proofErr w:type="spellEnd"/>
      <w:r w:rsidR="00304A34">
        <w:t xml:space="preserve"> муниципальном округе на 202</w:t>
      </w:r>
      <w:r w:rsidR="00A60C53">
        <w:t>5</w:t>
      </w:r>
      <w:r>
        <w:t xml:space="preserve"> год</w:t>
      </w:r>
    </w:p>
    <w:p w:rsidR="008249A4" w:rsidRDefault="008249A4" w:rsidP="008249A4">
      <w:pPr>
        <w:pStyle w:val="20"/>
        <w:shd w:val="clear" w:color="auto" w:fill="auto"/>
        <w:ind w:right="300"/>
        <w:jc w:val="center"/>
      </w:pPr>
    </w:p>
    <w:tbl>
      <w:tblPr>
        <w:tblStyle w:val="a5"/>
        <w:tblW w:w="0" w:type="auto"/>
        <w:tblLook w:val="04A0"/>
      </w:tblPr>
      <w:tblGrid>
        <w:gridCol w:w="845"/>
        <w:gridCol w:w="3767"/>
        <w:gridCol w:w="3295"/>
        <w:gridCol w:w="3415"/>
        <w:gridCol w:w="1977"/>
        <w:gridCol w:w="2363"/>
      </w:tblGrid>
      <w:tr w:rsidR="007C5339" w:rsidTr="007C5339">
        <w:tc>
          <w:tcPr>
            <w:tcW w:w="845" w:type="dxa"/>
          </w:tcPr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67" w:type="dxa"/>
          </w:tcPr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  <w:r>
              <w:t>Наименование мероприятия</w:t>
            </w:r>
          </w:p>
        </w:tc>
        <w:tc>
          <w:tcPr>
            <w:tcW w:w="3295" w:type="dxa"/>
          </w:tcPr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  <w:r>
              <w:t>Механизм реализации мероприятия</w:t>
            </w:r>
          </w:p>
        </w:tc>
        <w:tc>
          <w:tcPr>
            <w:tcW w:w="3415" w:type="dxa"/>
          </w:tcPr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  <w:r>
              <w:t>Результат (документ, мероприятие, показатель)</w:t>
            </w:r>
          </w:p>
        </w:tc>
        <w:tc>
          <w:tcPr>
            <w:tcW w:w="1977" w:type="dxa"/>
          </w:tcPr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  <w:r>
              <w:t>Срок исполнения мероприятия</w:t>
            </w:r>
          </w:p>
        </w:tc>
        <w:tc>
          <w:tcPr>
            <w:tcW w:w="2363" w:type="dxa"/>
          </w:tcPr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  <w:r>
              <w:t>Ответственный исполнитель (соисполнитель)</w:t>
            </w:r>
          </w:p>
        </w:tc>
      </w:tr>
      <w:tr w:rsidR="007C5339" w:rsidTr="009352A4">
        <w:tc>
          <w:tcPr>
            <w:tcW w:w="15662" w:type="dxa"/>
            <w:gridSpan w:val="6"/>
          </w:tcPr>
          <w:p w:rsidR="007C5339" w:rsidRDefault="007C5339" w:rsidP="008249A4">
            <w:pPr>
              <w:pStyle w:val="20"/>
              <w:shd w:val="clear" w:color="auto" w:fill="auto"/>
              <w:ind w:right="300"/>
              <w:jc w:val="center"/>
            </w:pPr>
            <w:r>
              <w:t>I. Организация внутреннего контроля соблюдения антимонопольного законодательства</w:t>
            </w:r>
          </w:p>
        </w:tc>
      </w:tr>
      <w:tr w:rsidR="007C5339" w:rsidTr="007C5339">
        <w:tc>
          <w:tcPr>
            <w:tcW w:w="845" w:type="dxa"/>
          </w:tcPr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  <w:r>
              <w:t>1</w:t>
            </w:r>
          </w:p>
        </w:tc>
        <w:tc>
          <w:tcPr>
            <w:tcW w:w="3767" w:type="dxa"/>
          </w:tcPr>
          <w:p w:rsidR="00D369B3" w:rsidRDefault="00D369B3" w:rsidP="00D369B3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proofErr w:type="gramStart"/>
            <w:r>
              <w:rPr>
                <w:rStyle w:val="21"/>
              </w:rPr>
              <w:t>Проведение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</w:t>
            </w:r>
            <w:proofErr w:type="gramEnd"/>
          </w:p>
          <w:p w:rsidR="00222AA1" w:rsidRDefault="00222AA1" w:rsidP="00D369B3">
            <w:pPr>
              <w:pStyle w:val="20"/>
              <w:shd w:val="clear" w:color="auto" w:fill="auto"/>
              <w:ind w:right="300"/>
              <w:rPr>
                <w:rStyle w:val="21"/>
              </w:rPr>
            </w:pPr>
          </w:p>
          <w:p w:rsidR="00222AA1" w:rsidRDefault="00222AA1" w:rsidP="00D369B3">
            <w:pPr>
              <w:pStyle w:val="20"/>
              <w:shd w:val="clear" w:color="auto" w:fill="auto"/>
              <w:ind w:right="300"/>
              <w:rPr>
                <w:rStyle w:val="21"/>
              </w:rPr>
            </w:pPr>
          </w:p>
          <w:p w:rsidR="00222AA1" w:rsidRDefault="00222AA1" w:rsidP="00D369B3">
            <w:pPr>
              <w:pStyle w:val="20"/>
              <w:shd w:val="clear" w:color="auto" w:fill="auto"/>
              <w:ind w:right="300"/>
              <w:rPr>
                <w:rStyle w:val="21"/>
              </w:rPr>
            </w:pPr>
          </w:p>
          <w:p w:rsidR="00222AA1" w:rsidRDefault="00222AA1" w:rsidP="00D369B3">
            <w:pPr>
              <w:pStyle w:val="20"/>
              <w:shd w:val="clear" w:color="auto" w:fill="auto"/>
              <w:ind w:right="300"/>
              <w:rPr>
                <w:rStyle w:val="21"/>
              </w:rPr>
            </w:pPr>
          </w:p>
          <w:p w:rsidR="00222AA1" w:rsidRDefault="00222AA1" w:rsidP="00D369B3">
            <w:pPr>
              <w:pStyle w:val="20"/>
              <w:shd w:val="clear" w:color="auto" w:fill="auto"/>
              <w:ind w:right="300"/>
              <w:rPr>
                <w:rStyle w:val="21"/>
              </w:rPr>
            </w:pPr>
          </w:p>
          <w:p w:rsidR="00222AA1" w:rsidRDefault="00222AA1" w:rsidP="00D369B3">
            <w:pPr>
              <w:pStyle w:val="20"/>
              <w:shd w:val="clear" w:color="auto" w:fill="auto"/>
              <w:ind w:right="300"/>
            </w:pPr>
          </w:p>
        </w:tc>
        <w:tc>
          <w:tcPr>
            <w:tcW w:w="3295" w:type="dxa"/>
          </w:tcPr>
          <w:p w:rsidR="00D369B3" w:rsidRDefault="00D369B3" w:rsidP="00D369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Сбор информации, поступившей от структурных подразделений Администрации </w:t>
            </w:r>
            <w:proofErr w:type="spellStart"/>
            <w:r>
              <w:rPr>
                <w:rStyle w:val="21"/>
              </w:rPr>
              <w:t>Лебяжьевского</w:t>
            </w:r>
            <w:proofErr w:type="spellEnd"/>
            <w:r>
              <w:rPr>
                <w:rStyle w:val="21"/>
              </w:rPr>
              <w:t xml:space="preserve"> муниципального округа (далее - Администрация), касающейся выявления рисков нарушения антимонопольного законодательства, учета обстоятельств, связанных с рисками нарушения</w:t>
            </w:r>
          </w:p>
          <w:p w:rsidR="00D369B3" w:rsidRDefault="00D369B3" w:rsidP="00D369B3">
            <w:pPr>
              <w:pStyle w:val="20"/>
              <w:shd w:val="clear" w:color="auto" w:fill="auto"/>
            </w:pPr>
            <w:r>
              <w:rPr>
                <w:rStyle w:val="21"/>
              </w:rPr>
              <w:t>антимонопольного</w:t>
            </w:r>
          </w:p>
          <w:p w:rsidR="00D369B3" w:rsidRDefault="00D369B3" w:rsidP="00D369B3">
            <w:pPr>
              <w:pStyle w:val="20"/>
              <w:shd w:val="clear" w:color="auto" w:fill="auto"/>
              <w:ind w:right="300"/>
            </w:pPr>
            <w:r>
              <w:rPr>
                <w:rStyle w:val="21"/>
              </w:rPr>
              <w:t>законодательства</w:t>
            </w:r>
          </w:p>
        </w:tc>
        <w:tc>
          <w:tcPr>
            <w:tcW w:w="3415" w:type="dxa"/>
          </w:tcPr>
          <w:p w:rsidR="007C5339" w:rsidRDefault="00D369B3" w:rsidP="00D369B3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r>
              <w:rPr>
                <w:rStyle w:val="21"/>
              </w:rPr>
              <w:t>Перечень нарушений антимонопольного законодательства в администрации в соответствии с Методическими рекомендациями, утвержденными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    </w:r>
          </w:p>
          <w:p w:rsidR="00222AA1" w:rsidRPr="007C5339" w:rsidRDefault="00222AA1" w:rsidP="00D369B3">
            <w:pPr>
              <w:pStyle w:val="20"/>
              <w:shd w:val="clear" w:color="auto" w:fill="auto"/>
              <w:ind w:right="300"/>
              <w:rPr>
                <w:b w:val="0"/>
                <w:bCs w:val="0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977" w:type="dxa"/>
          </w:tcPr>
          <w:p w:rsidR="00D369B3" w:rsidRPr="00D369B3" w:rsidRDefault="00D369B3" w:rsidP="00F9503D">
            <w:pPr>
              <w:pStyle w:val="20"/>
              <w:shd w:val="clear" w:color="auto" w:fill="auto"/>
              <w:ind w:right="300"/>
              <w:jc w:val="center"/>
              <w:rPr>
                <w:b w:val="0"/>
              </w:rPr>
            </w:pPr>
            <w:r w:rsidRPr="00D369B3">
              <w:rPr>
                <w:b w:val="0"/>
              </w:rPr>
              <w:t xml:space="preserve">1 февраля </w:t>
            </w:r>
            <w:r w:rsidR="00F9503D">
              <w:rPr>
                <w:b w:val="0"/>
              </w:rPr>
              <w:t xml:space="preserve">года, следующего за </w:t>
            </w:r>
            <w:proofErr w:type="gramStart"/>
            <w:r w:rsidR="00F9503D">
              <w:rPr>
                <w:b w:val="0"/>
              </w:rPr>
              <w:t>отчетным</w:t>
            </w:r>
            <w:proofErr w:type="gramEnd"/>
          </w:p>
        </w:tc>
        <w:tc>
          <w:tcPr>
            <w:tcW w:w="2363" w:type="dxa"/>
          </w:tcPr>
          <w:p w:rsidR="00D369B3" w:rsidRDefault="00222AA1" w:rsidP="00D369B3">
            <w:pPr>
              <w:pStyle w:val="20"/>
              <w:shd w:val="clear" w:color="auto" w:fill="auto"/>
              <w:ind w:right="300"/>
              <w:rPr>
                <w:b w:val="0"/>
              </w:rPr>
            </w:pPr>
            <w:r>
              <w:rPr>
                <w:b w:val="0"/>
              </w:rPr>
              <w:t>О</w:t>
            </w:r>
            <w:r w:rsidR="00D369B3">
              <w:rPr>
                <w:b w:val="0"/>
              </w:rPr>
              <w:t>тдел правовой и кадровой работы;</w:t>
            </w:r>
          </w:p>
          <w:p w:rsidR="00D369B3" w:rsidRDefault="00D369B3" w:rsidP="00D369B3">
            <w:pPr>
              <w:pStyle w:val="20"/>
              <w:shd w:val="clear" w:color="auto" w:fill="auto"/>
              <w:ind w:right="300"/>
              <w:rPr>
                <w:b w:val="0"/>
              </w:rPr>
            </w:pPr>
          </w:p>
          <w:p w:rsidR="00D369B3" w:rsidRPr="00D369B3" w:rsidRDefault="00222AA1" w:rsidP="00222AA1">
            <w:pPr>
              <w:pStyle w:val="20"/>
              <w:shd w:val="clear" w:color="auto" w:fill="auto"/>
              <w:ind w:right="300"/>
              <w:rPr>
                <w:b w:val="0"/>
              </w:rPr>
            </w:pPr>
            <w:r>
              <w:rPr>
                <w:b w:val="0"/>
              </w:rPr>
              <w:t>С</w:t>
            </w:r>
            <w:r w:rsidR="00D369B3">
              <w:rPr>
                <w:b w:val="0"/>
              </w:rPr>
              <w:t xml:space="preserve">труктурные подразделения </w:t>
            </w:r>
          </w:p>
        </w:tc>
      </w:tr>
      <w:tr w:rsidR="007C5339" w:rsidTr="007C5339">
        <w:tc>
          <w:tcPr>
            <w:tcW w:w="845" w:type="dxa"/>
          </w:tcPr>
          <w:p w:rsidR="00D369B3" w:rsidRDefault="007C5339" w:rsidP="008249A4">
            <w:pPr>
              <w:pStyle w:val="20"/>
              <w:shd w:val="clear" w:color="auto" w:fill="auto"/>
              <w:ind w:right="300"/>
              <w:jc w:val="center"/>
            </w:pPr>
            <w:r>
              <w:lastRenderedPageBreak/>
              <w:t>2</w:t>
            </w:r>
          </w:p>
        </w:tc>
        <w:tc>
          <w:tcPr>
            <w:tcW w:w="3767" w:type="dxa"/>
          </w:tcPr>
          <w:p w:rsidR="007C5339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  <w:r w:rsidRPr="00D369B3">
              <w:rPr>
                <w:rStyle w:val="21"/>
                <w:color w:val="auto"/>
              </w:rPr>
              <w:t>Проведение мониторинга и анализа практики применения антимонопольного законодательства в Администрации</w:t>
            </w:r>
          </w:p>
          <w:p w:rsidR="007C5339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</w:p>
          <w:p w:rsidR="007C5339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</w:p>
          <w:p w:rsidR="007C5339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</w:p>
          <w:p w:rsidR="007C5339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</w:p>
          <w:p w:rsidR="007C5339" w:rsidRPr="00D369B3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  <w:r w:rsidRPr="00D369B3">
              <w:rPr>
                <w:rStyle w:val="21"/>
                <w:color w:val="auto"/>
              </w:rPr>
              <w:t>Предотвращение/недопущение</w:t>
            </w:r>
          </w:p>
          <w:p w:rsidR="007C5339" w:rsidRPr="00D369B3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  <w:r w:rsidRPr="00D369B3">
              <w:rPr>
                <w:rStyle w:val="21"/>
                <w:color w:val="auto"/>
              </w:rPr>
              <w:t>нарушения антимонопольного законодательства в принятых и разрабатываемых нормативных правовых актах Администрации</w:t>
            </w:r>
          </w:p>
          <w:p w:rsidR="007C5339" w:rsidRPr="00D369B3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</w:p>
          <w:p w:rsidR="007C5339" w:rsidRPr="00D369B3" w:rsidRDefault="007C5339" w:rsidP="007C5339">
            <w:pPr>
              <w:pStyle w:val="20"/>
              <w:shd w:val="clear" w:color="auto" w:fill="auto"/>
              <w:rPr>
                <w:rStyle w:val="21"/>
                <w:color w:val="auto"/>
              </w:rPr>
            </w:pPr>
          </w:p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</w:p>
        </w:tc>
        <w:tc>
          <w:tcPr>
            <w:tcW w:w="3295" w:type="dxa"/>
          </w:tcPr>
          <w:p w:rsidR="007C5339" w:rsidRPr="00D369B3" w:rsidRDefault="007C5339" w:rsidP="007C5339">
            <w:pPr>
              <w:pStyle w:val="20"/>
              <w:shd w:val="clear" w:color="auto" w:fill="auto"/>
              <w:tabs>
                <w:tab w:val="left" w:pos="250"/>
              </w:tabs>
              <w:rPr>
                <w:rStyle w:val="21"/>
                <w:color w:val="auto"/>
              </w:rPr>
            </w:pPr>
            <w:r w:rsidRPr="00D369B3">
              <w:rPr>
                <w:rStyle w:val="21"/>
                <w:color w:val="auto"/>
              </w:rPr>
              <w:t>Проведение ежегодных рабочих совещаний по обсуждению результатов правоприменительной практики в Администрации</w:t>
            </w:r>
          </w:p>
          <w:p w:rsidR="00D369B3" w:rsidRDefault="00D369B3" w:rsidP="008249A4">
            <w:pPr>
              <w:pStyle w:val="20"/>
              <w:shd w:val="clear" w:color="auto" w:fill="auto"/>
              <w:ind w:right="300"/>
              <w:jc w:val="center"/>
            </w:pPr>
          </w:p>
          <w:p w:rsidR="007C5339" w:rsidRDefault="007C5339" w:rsidP="008249A4">
            <w:pPr>
              <w:pStyle w:val="20"/>
              <w:shd w:val="clear" w:color="auto" w:fill="auto"/>
              <w:ind w:right="300"/>
              <w:jc w:val="center"/>
            </w:pPr>
          </w:p>
          <w:p w:rsidR="007C5339" w:rsidRDefault="007C5339" w:rsidP="00222AA1">
            <w:pPr>
              <w:pStyle w:val="20"/>
              <w:shd w:val="clear" w:color="auto" w:fill="auto"/>
              <w:ind w:right="300"/>
            </w:pPr>
          </w:p>
          <w:p w:rsidR="007C5339" w:rsidRDefault="007C5339" w:rsidP="007C5339">
            <w:pPr>
              <w:pStyle w:val="20"/>
              <w:shd w:val="clear" w:color="auto" w:fill="auto"/>
              <w:ind w:right="300"/>
            </w:pPr>
            <w:r w:rsidRPr="00D369B3">
              <w:rPr>
                <w:rStyle w:val="21"/>
                <w:color w:val="auto"/>
              </w:rPr>
              <w:t>Повышение квалификации должностных лиц; повышение эффективности процесса управления; анализ НПА и проектов НПА на предмет соответствия антимонопольному законодательству; анализ ранее выявленных нарушений; мониторинг и анализ практики применения антимонопольного законодательства</w:t>
            </w:r>
          </w:p>
        </w:tc>
        <w:tc>
          <w:tcPr>
            <w:tcW w:w="3415" w:type="dxa"/>
          </w:tcPr>
          <w:p w:rsidR="00D369B3" w:rsidRDefault="007C5339" w:rsidP="007C5339">
            <w:pPr>
              <w:pStyle w:val="20"/>
              <w:shd w:val="clear" w:color="auto" w:fill="auto"/>
              <w:ind w:right="300"/>
              <w:rPr>
                <w:b w:val="0"/>
              </w:rPr>
            </w:pPr>
            <w:r w:rsidRPr="00D369B3">
              <w:rPr>
                <w:b w:val="0"/>
              </w:rPr>
              <w:t xml:space="preserve">Сокращение вероятности наступления </w:t>
            </w:r>
            <w:proofErr w:type="spellStart"/>
            <w:r w:rsidRPr="00D369B3">
              <w:rPr>
                <w:b w:val="0"/>
              </w:rPr>
              <w:t>комплаенс-риска</w:t>
            </w:r>
            <w:proofErr w:type="spellEnd"/>
            <w:r w:rsidRPr="00D369B3">
              <w:rPr>
                <w:b w:val="0"/>
              </w:rPr>
              <w:t>, недопущение нарушений антимонопольного законодательства</w:t>
            </w:r>
          </w:p>
          <w:p w:rsidR="007C5339" w:rsidRDefault="007C5339" w:rsidP="008249A4">
            <w:pPr>
              <w:pStyle w:val="20"/>
              <w:shd w:val="clear" w:color="auto" w:fill="auto"/>
              <w:ind w:right="300"/>
              <w:jc w:val="center"/>
              <w:rPr>
                <w:b w:val="0"/>
              </w:rPr>
            </w:pPr>
          </w:p>
          <w:p w:rsidR="007C5339" w:rsidRDefault="007C5339" w:rsidP="00222AA1">
            <w:pPr>
              <w:pStyle w:val="20"/>
              <w:shd w:val="clear" w:color="auto" w:fill="auto"/>
              <w:ind w:right="300"/>
              <w:rPr>
                <w:b w:val="0"/>
              </w:rPr>
            </w:pPr>
          </w:p>
          <w:p w:rsidR="007C5339" w:rsidRDefault="007C5339" w:rsidP="007C5339">
            <w:pPr>
              <w:pStyle w:val="20"/>
              <w:shd w:val="clear" w:color="auto" w:fill="auto"/>
              <w:ind w:right="300"/>
            </w:pPr>
            <w:r w:rsidRPr="00D369B3">
              <w:rPr>
                <w:b w:val="0"/>
              </w:rPr>
              <w:t xml:space="preserve">Сокращение вероятности наступления </w:t>
            </w:r>
            <w:proofErr w:type="spellStart"/>
            <w:r w:rsidRPr="00D369B3">
              <w:rPr>
                <w:b w:val="0"/>
              </w:rPr>
              <w:t>комплаенс-риска</w:t>
            </w:r>
            <w:proofErr w:type="spellEnd"/>
            <w:r w:rsidRPr="00D369B3">
              <w:rPr>
                <w:b w:val="0"/>
              </w:rPr>
              <w:t>, недопущение нарушений антимонопольного законодательства</w:t>
            </w:r>
          </w:p>
        </w:tc>
        <w:tc>
          <w:tcPr>
            <w:tcW w:w="1977" w:type="dxa"/>
          </w:tcPr>
          <w:p w:rsidR="00D369B3" w:rsidRDefault="007C5339" w:rsidP="008249A4">
            <w:pPr>
              <w:pStyle w:val="20"/>
              <w:shd w:val="clear" w:color="auto" w:fill="auto"/>
              <w:ind w:right="300"/>
              <w:jc w:val="center"/>
            </w:pPr>
            <w:r w:rsidRPr="00D369B3">
              <w:rPr>
                <w:rStyle w:val="21"/>
                <w:color w:val="auto"/>
              </w:rPr>
              <w:t>ежеквартально</w:t>
            </w:r>
          </w:p>
        </w:tc>
        <w:tc>
          <w:tcPr>
            <w:tcW w:w="2363" w:type="dxa"/>
          </w:tcPr>
          <w:p w:rsidR="007C5339" w:rsidRPr="00D369B3" w:rsidRDefault="007C5339" w:rsidP="00222AA1">
            <w:pPr>
              <w:pStyle w:val="20"/>
              <w:shd w:val="clear" w:color="auto" w:fill="auto"/>
            </w:pPr>
            <w:r w:rsidRPr="00D369B3">
              <w:rPr>
                <w:rStyle w:val="21"/>
                <w:color w:val="auto"/>
              </w:rPr>
              <w:t>Отдел</w:t>
            </w:r>
          </w:p>
          <w:p w:rsidR="007C5339" w:rsidRPr="00D369B3" w:rsidRDefault="00F9503D" w:rsidP="00222AA1">
            <w:pPr>
              <w:pStyle w:val="20"/>
              <w:shd w:val="clear" w:color="auto" w:fill="auto"/>
            </w:pPr>
            <w:r>
              <w:rPr>
                <w:rStyle w:val="21"/>
                <w:color w:val="auto"/>
              </w:rPr>
              <w:t>п</w:t>
            </w:r>
            <w:r w:rsidR="007C5339" w:rsidRPr="00D369B3">
              <w:rPr>
                <w:rStyle w:val="21"/>
                <w:color w:val="auto"/>
              </w:rPr>
              <w:t>равовой и кадровой работы;</w:t>
            </w:r>
          </w:p>
          <w:p w:rsidR="007C5339" w:rsidRPr="00D369B3" w:rsidRDefault="007C5339" w:rsidP="00222AA1">
            <w:pPr>
              <w:pStyle w:val="20"/>
              <w:shd w:val="clear" w:color="auto" w:fill="auto"/>
            </w:pPr>
            <w:r w:rsidRPr="00D369B3">
              <w:rPr>
                <w:rStyle w:val="21"/>
                <w:color w:val="auto"/>
              </w:rPr>
              <w:t>структурные</w:t>
            </w:r>
          </w:p>
          <w:p w:rsidR="00D369B3" w:rsidRPr="00222AA1" w:rsidRDefault="007C5339" w:rsidP="00222AA1">
            <w:pPr>
              <w:pStyle w:val="20"/>
              <w:shd w:val="clear" w:color="auto" w:fill="auto"/>
              <w:rPr>
                <w:rStyle w:val="21"/>
                <w:b/>
                <w:bCs/>
                <w:color w:val="auto"/>
                <w:shd w:val="clear" w:color="auto" w:fill="auto"/>
                <w:lang w:eastAsia="en-US" w:bidi="ar-SA"/>
              </w:rPr>
            </w:pPr>
            <w:r w:rsidRPr="00D369B3">
              <w:rPr>
                <w:rStyle w:val="21"/>
                <w:color w:val="auto"/>
              </w:rPr>
              <w:t>подразделения, разрабатывающие НПА</w:t>
            </w:r>
          </w:p>
          <w:p w:rsidR="007C5339" w:rsidRDefault="007C5339" w:rsidP="007C5339">
            <w:pPr>
              <w:pStyle w:val="20"/>
              <w:shd w:val="clear" w:color="auto" w:fill="auto"/>
              <w:ind w:right="300"/>
              <w:jc w:val="center"/>
            </w:pPr>
          </w:p>
        </w:tc>
      </w:tr>
      <w:tr w:rsidR="007C5339" w:rsidTr="004F55A4">
        <w:tc>
          <w:tcPr>
            <w:tcW w:w="15662" w:type="dxa"/>
            <w:gridSpan w:val="6"/>
          </w:tcPr>
          <w:p w:rsidR="007C5339" w:rsidRDefault="007C5339" w:rsidP="008249A4">
            <w:pPr>
              <w:pStyle w:val="20"/>
              <w:shd w:val="clear" w:color="auto" w:fill="auto"/>
              <w:ind w:right="300"/>
              <w:jc w:val="center"/>
            </w:pPr>
            <w:r>
              <w:rPr>
                <w:rStyle w:val="21"/>
              </w:rPr>
              <w:t xml:space="preserve">II. </w:t>
            </w:r>
            <w:r>
              <w:t>Мероприятия по снижению рисков нарушения антимонопольного законодательства</w:t>
            </w:r>
          </w:p>
        </w:tc>
      </w:tr>
      <w:tr w:rsidR="007C5339" w:rsidTr="007C5339">
        <w:tc>
          <w:tcPr>
            <w:tcW w:w="845" w:type="dxa"/>
          </w:tcPr>
          <w:p w:rsidR="00D369B3" w:rsidRDefault="007C5339" w:rsidP="008249A4">
            <w:pPr>
              <w:pStyle w:val="20"/>
              <w:shd w:val="clear" w:color="auto" w:fill="auto"/>
              <w:ind w:right="300"/>
              <w:jc w:val="center"/>
            </w:pPr>
            <w:r>
              <w:t>3</w:t>
            </w:r>
          </w:p>
        </w:tc>
        <w:tc>
          <w:tcPr>
            <w:tcW w:w="3767" w:type="dxa"/>
          </w:tcPr>
          <w:p w:rsidR="00D369B3" w:rsidRDefault="007C5339" w:rsidP="00AA7F96">
            <w:pPr>
              <w:pStyle w:val="20"/>
              <w:shd w:val="clear" w:color="auto" w:fill="auto"/>
              <w:ind w:right="300"/>
            </w:pPr>
            <w:r>
              <w:rPr>
                <w:rStyle w:val="21"/>
              </w:rPr>
              <w:t xml:space="preserve">Проведение мониторинга изменений действующего законодательства в сфере оказания </w:t>
            </w:r>
            <w:r w:rsidR="00AA7F96">
              <w:rPr>
                <w:rStyle w:val="21"/>
              </w:rPr>
              <w:t>муниципальных</w:t>
            </w:r>
            <w:r>
              <w:rPr>
                <w:rStyle w:val="21"/>
              </w:rPr>
              <w:t xml:space="preserve"> услуг</w:t>
            </w:r>
          </w:p>
        </w:tc>
        <w:tc>
          <w:tcPr>
            <w:tcW w:w="3295" w:type="dxa"/>
          </w:tcPr>
          <w:p w:rsidR="00D369B3" w:rsidRDefault="007C5339" w:rsidP="00AA7F96">
            <w:pPr>
              <w:pStyle w:val="20"/>
              <w:shd w:val="clear" w:color="auto" w:fill="auto"/>
              <w:ind w:right="300"/>
            </w:pPr>
            <w:r>
              <w:rPr>
                <w:rStyle w:val="21"/>
              </w:rPr>
              <w:t xml:space="preserve">Изучение действующего законодательства в </w:t>
            </w:r>
            <w:r w:rsidR="00F9503D">
              <w:rPr>
                <w:rStyle w:val="21"/>
              </w:rPr>
              <w:t xml:space="preserve">сфере </w:t>
            </w:r>
            <w:r>
              <w:rPr>
                <w:rStyle w:val="21"/>
              </w:rPr>
              <w:t xml:space="preserve">оказания </w:t>
            </w:r>
            <w:r w:rsidR="00AA7F96">
              <w:rPr>
                <w:rStyle w:val="21"/>
              </w:rPr>
              <w:t>муниципальных</w:t>
            </w:r>
            <w:r>
              <w:rPr>
                <w:rStyle w:val="21"/>
              </w:rPr>
              <w:t xml:space="preserve"> услуг</w:t>
            </w:r>
          </w:p>
        </w:tc>
        <w:tc>
          <w:tcPr>
            <w:tcW w:w="3415" w:type="dxa"/>
          </w:tcPr>
          <w:p w:rsidR="007C5339" w:rsidRDefault="007C5339" w:rsidP="007C5339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Внесение изменений в </w:t>
            </w:r>
            <w:proofErr w:type="gramStart"/>
            <w:r>
              <w:rPr>
                <w:rStyle w:val="21"/>
              </w:rPr>
              <w:t>действующие</w:t>
            </w:r>
            <w:proofErr w:type="gramEnd"/>
          </w:p>
          <w:p w:rsidR="00D369B3" w:rsidRDefault="007C5339" w:rsidP="007C5339">
            <w:pPr>
              <w:pStyle w:val="20"/>
              <w:shd w:val="clear" w:color="auto" w:fill="auto"/>
              <w:ind w:right="300"/>
            </w:pPr>
            <w:r>
              <w:rPr>
                <w:rStyle w:val="21"/>
              </w:rPr>
              <w:t>Административные регламенты в случае необходимости</w:t>
            </w:r>
          </w:p>
        </w:tc>
        <w:tc>
          <w:tcPr>
            <w:tcW w:w="1977" w:type="dxa"/>
          </w:tcPr>
          <w:p w:rsidR="00D369B3" w:rsidRDefault="007C5339" w:rsidP="00222AA1">
            <w:pPr>
              <w:pStyle w:val="20"/>
              <w:shd w:val="clear" w:color="auto" w:fill="auto"/>
              <w:ind w:right="300"/>
            </w:pPr>
            <w:r>
              <w:t>е</w:t>
            </w:r>
            <w:r w:rsidRPr="007C5339">
              <w:rPr>
                <w:b w:val="0"/>
              </w:rPr>
              <w:t>жеквартально</w:t>
            </w:r>
          </w:p>
        </w:tc>
        <w:tc>
          <w:tcPr>
            <w:tcW w:w="2363" w:type="dxa"/>
          </w:tcPr>
          <w:p w:rsidR="00D369B3" w:rsidRDefault="007C5339" w:rsidP="00222AA1">
            <w:pPr>
              <w:pStyle w:val="20"/>
              <w:shd w:val="clear" w:color="auto" w:fill="auto"/>
              <w:ind w:right="300"/>
            </w:pPr>
            <w:r w:rsidRPr="008249A4">
              <w:rPr>
                <w:rStyle w:val="21"/>
              </w:rPr>
              <w:t xml:space="preserve">Отдел правовой и кадровой работы </w:t>
            </w:r>
          </w:p>
        </w:tc>
      </w:tr>
      <w:tr w:rsidR="007C5339" w:rsidTr="007C5339">
        <w:tc>
          <w:tcPr>
            <w:tcW w:w="845" w:type="dxa"/>
          </w:tcPr>
          <w:p w:rsidR="00D369B3" w:rsidRDefault="007C5339" w:rsidP="008249A4">
            <w:pPr>
              <w:pStyle w:val="20"/>
              <w:shd w:val="clear" w:color="auto" w:fill="auto"/>
              <w:ind w:right="300"/>
              <w:jc w:val="center"/>
            </w:pPr>
            <w:r>
              <w:t>4</w:t>
            </w:r>
          </w:p>
        </w:tc>
        <w:tc>
          <w:tcPr>
            <w:tcW w:w="3767" w:type="dxa"/>
          </w:tcPr>
          <w:p w:rsidR="00D369B3" w:rsidRDefault="007C5339" w:rsidP="00222AA1">
            <w:pPr>
              <w:pStyle w:val="20"/>
              <w:shd w:val="clear" w:color="auto" w:fill="auto"/>
              <w:ind w:right="300"/>
            </w:pPr>
            <w:r>
              <w:rPr>
                <w:rStyle w:val="21"/>
              </w:rPr>
              <w:t xml:space="preserve">Разработка и утверждение плана мероприятий («дорожной карты») по </w:t>
            </w:r>
            <w:proofErr w:type="spellStart"/>
            <w:r>
              <w:rPr>
                <w:rStyle w:val="21"/>
              </w:rPr>
              <w:t>комплаенс-рискам</w:t>
            </w:r>
            <w:proofErr w:type="spellEnd"/>
          </w:p>
        </w:tc>
        <w:tc>
          <w:tcPr>
            <w:tcW w:w="3295" w:type="dxa"/>
          </w:tcPr>
          <w:p w:rsidR="00D369B3" w:rsidRDefault="00222AA1" w:rsidP="00222AA1">
            <w:pPr>
              <w:pStyle w:val="20"/>
              <w:shd w:val="clear" w:color="auto" w:fill="auto"/>
              <w:ind w:right="300"/>
            </w:pPr>
            <w:r>
              <w:rPr>
                <w:rStyle w:val="21"/>
              </w:rPr>
              <w:t>С</w:t>
            </w:r>
            <w:r w:rsidR="007C5339">
              <w:rPr>
                <w:rStyle w:val="21"/>
              </w:rPr>
              <w:t>оставление перечня мер по снижению рисков нарушения антимонопольного законодательства</w:t>
            </w:r>
          </w:p>
        </w:tc>
        <w:tc>
          <w:tcPr>
            <w:tcW w:w="3415" w:type="dxa"/>
          </w:tcPr>
          <w:p w:rsidR="00D369B3" w:rsidRDefault="00222AA1" w:rsidP="00222AA1">
            <w:pPr>
              <w:pStyle w:val="20"/>
              <w:shd w:val="clear" w:color="auto" w:fill="auto"/>
              <w:ind w:right="300"/>
            </w:pPr>
            <w:r>
              <w:rPr>
                <w:rStyle w:val="21"/>
              </w:rPr>
              <w:t>П</w:t>
            </w:r>
            <w:r w:rsidR="007C5339">
              <w:rPr>
                <w:rStyle w:val="21"/>
              </w:rPr>
              <w:t>еречень мер, необходимых для устранения причин и условий недопущения, ограничения и устранения конкуренции и последовательность их применения, необходимых для устранения выявленных рисков</w:t>
            </w:r>
          </w:p>
        </w:tc>
        <w:tc>
          <w:tcPr>
            <w:tcW w:w="1977" w:type="dxa"/>
          </w:tcPr>
          <w:p w:rsidR="00D369B3" w:rsidRDefault="007C5339" w:rsidP="00A60C53">
            <w:pPr>
              <w:pStyle w:val="20"/>
              <w:shd w:val="clear" w:color="auto" w:fill="auto"/>
              <w:ind w:right="300"/>
              <w:jc w:val="center"/>
            </w:pPr>
            <w:r>
              <w:rPr>
                <w:rStyle w:val="21"/>
              </w:rPr>
              <w:t>20 декабря 202</w:t>
            </w:r>
            <w:r w:rsidR="00A60C53">
              <w:rPr>
                <w:rStyle w:val="21"/>
              </w:rPr>
              <w:t>5</w:t>
            </w:r>
            <w:r>
              <w:rPr>
                <w:rStyle w:val="21"/>
              </w:rPr>
              <w:t xml:space="preserve"> года</w:t>
            </w:r>
          </w:p>
        </w:tc>
        <w:tc>
          <w:tcPr>
            <w:tcW w:w="2363" w:type="dxa"/>
          </w:tcPr>
          <w:p w:rsidR="007C5339" w:rsidRDefault="007C5339" w:rsidP="00222AA1">
            <w:pPr>
              <w:pStyle w:val="20"/>
              <w:shd w:val="clear" w:color="auto" w:fill="auto"/>
            </w:pPr>
            <w:r>
              <w:rPr>
                <w:rStyle w:val="21"/>
              </w:rPr>
              <w:t>Отдел</w:t>
            </w:r>
          </w:p>
          <w:p w:rsidR="00D369B3" w:rsidRDefault="007C5339" w:rsidP="00222AA1">
            <w:pPr>
              <w:pStyle w:val="20"/>
              <w:shd w:val="clear" w:color="auto" w:fill="auto"/>
              <w:ind w:right="300"/>
            </w:pPr>
            <w:r>
              <w:rPr>
                <w:b w:val="0"/>
              </w:rPr>
              <w:t>п</w:t>
            </w:r>
            <w:r w:rsidRPr="000C578F">
              <w:rPr>
                <w:b w:val="0"/>
              </w:rPr>
              <w:t xml:space="preserve">равовой и кадровой работы </w:t>
            </w:r>
          </w:p>
        </w:tc>
      </w:tr>
      <w:tr w:rsidR="007C5339" w:rsidTr="007C5339">
        <w:trPr>
          <w:trHeight w:val="60"/>
        </w:trPr>
        <w:tc>
          <w:tcPr>
            <w:tcW w:w="845" w:type="dxa"/>
          </w:tcPr>
          <w:p w:rsidR="007C5339" w:rsidRDefault="007C5339" w:rsidP="008249A4">
            <w:pPr>
              <w:pStyle w:val="20"/>
              <w:shd w:val="clear" w:color="auto" w:fill="auto"/>
              <w:ind w:right="300"/>
              <w:jc w:val="center"/>
            </w:pPr>
            <w:r>
              <w:lastRenderedPageBreak/>
              <w:t>5</w:t>
            </w:r>
          </w:p>
        </w:tc>
        <w:tc>
          <w:tcPr>
            <w:tcW w:w="3767" w:type="dxa"/>
          </w:tcPr>
          <w:p w:rsidR="007C5339" w:rsidRDefault="007C5339" w:rsidP="008249A4">
            <w:pPr>
              <w:pStyle w:val="20"/>
              <w:shd w:val="clear" w:color="auto" w:fill="auto"/>
              <w:ind w:right="300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Мониторинг исполнения плана мероприятий («дорожной карты») по </w:t>
            </w:r>
            <w:proofErr w:type="spellStart"/>
            <w:r>
              <w:rPr>
                <w:rStyle w:val="21"/>
              </w:rPr>
              <w:t>комплаенс-рискам</w:t>
            </w:r>
            <w:proofErr w:type="spellEnd"/>
          </w:p>
        </w:tc>
        <w:tc>
          <w:tcPr>
            <w:tcW w:w="3295" w:type="dxa"/>
          </w:tcPr>
          <w:p w:rsidR="007C5339" w:rsidRDefault="007C5339" w:rsidP="00222AA1">
            <w:pPr>
              <w:pStyle w:val="20"/>
              <w:shd w:val="clear" w:color="auto" w:fill="auto"/>
              <w:tabs>
                <w:tab w:val="left" w:pos="250"/>
              </w:tabs>
            </w:pPr>
            <w:r>
              <w:rPr>
                <w:rStyle w:val="21"/>
              </w:rPr>
              <w:t xml:space="preserve">Сбор информации об исполнении плана мероприятий («дорожной карты») по </w:t>
            </w:r>
            <w:proofErr w:type="spellStart"/>
            <w:r>
              <w:rPr>
                <w:rStyle w:val="21"/>
              </w:rPr>
              <w:t>комплаенс-рискам</w:t>
            </w:r>
            <w:proofErr w:type="spellEnd"/>
            <w:r>
              <w:rPr>
                <w:rStyle w:val="21"/>
              </w:rPr>
              <w:t>.</w:t>
            </w:r>
          </w:p>
          <w:p w:rsidR="007C5339" w:rsidRDefault="007C5339" w:rsidP="00222AA1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r>
              <w:rPr>
                <w:rStyle w:val="21"/>
              </w:rPr>
              <w:t xml:space="preserve">Подготовка отчета (информации) об исполнении плана мероприятий («дорожной карты») по снижению </w:t>
            </w:r>
            <w:proofErr w:type="spellStart"/>
            <w:r>
              <w:rPr>
                <w:rStyle w:val="21"/>
              </w:rPr>
              <w:t>комплаенс-рисков</w:t>
            </w:r>
            <w:proofErr w:type="spellEnd"/>
          </w:p>
        </w:tc>
        <w:tc>
          <w:tcPr>
            <w:tcW w:w="3415" w:type="dxa"/>
          </w:tcPr>
          <w:p w:rsidR="007C5339" w:rsidRDefault="007C5339" w:rsidP="00222AA1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r>
              <w:rPr>
                <w:rStyle w:val="21"/>
              </w:rPr>
              <w:t xml:space="preserve">Отчет (информация) по исполнению плана мероприятий («дорожной карты») по снижению </w:t>
            </w:r>
            <w:proofErr w:type="spellStart"/>
            <w:r>
              <w:rPr>
                <w:rStyle w:val="21"/>
              </w:rPr>
              <w:t>комплаенс-рисков</w:t>
            </w:r>
            <w:proofErr w:type="spellEnd"/>
          </w:p>
        </w:tc>
        <w:tc>
          <w:tcPr>
            <w:tcW w:w="1977" w:type="dxa"/>
          </w:tcPr>
          <w:p w:rsidR="007C5339" w:rsidRDefault="00304A34" w:rsidP="00A60C53">
            <w:pPr>
              <w:pStyle w:val="20"/>
              <w:shd w:val="clear" w:color="auto" w:fill="auto"/>
              <w:ind w:right="300"/>
              <w:jc w:val="center"/>
              <w:rPr>
                <w:rStyle w:val="21"/>
              </w:rPr>
            </w:pPr>
            <w:r>
              <w:rPr>
                <w:rStyle w:val="21"/>
              </w:rPr>
              <w:t>2</w:t>
            </w:r>
            <w:r w:rsidR="00FC4D44">
              <w:rPr>
                <w:rStyle w:val="21"/>
              </w:rPr>
              <w:t>5</w:t>
            </w:r>
            <w:r w:rsidR="008B4329">
              <w:rPr>
                <w:rStyle w:val="21"/>
              </w:rPr>
              <w:t xml:space="preserve"> декабря 202</w:t>
            </w:r>
            <w:r w:rsidR="00A60C53">
              <w:rPr>
                <w:rStyle w:val="21"/>
              </w:rPr>
              <w:t>5</w:t>
            </w:r>
            <w:r w:rsidR="008B4329">
              <w:rPr>
                <w:rStyle w:val="21"/>
              </w:rPr>
              <w:t xml:space="preserve"> года</w:t>
            </w:r>
          </w:p>
        </w:tc>
        <w:tc>
          <w:tcPr>
            <w:tcW w:w="2363" w:type="dxa"/>
          </w:tcPr>
          <w:p w:rsidR="008B4329" w:rsidRDefault="008B4329" w:rsidP="008B4329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Отдел</w:t>
            </w:r>
          </w:p>
          <w:p w:rsidR="007C5339" w:rsidRDefault="008B4329" w:rsidP="00222AA1">
            <w:pPr>
              <w:pStyle w:val="20"/>
              <w:shd w:val="clear" w:color="auto" w:fill="auto"/>
              <w:rPr>
                <w:rStyle w:val="21"/>
              </w:rPr>
            </w:pPr>
            <w:r w:rsidRPr="008249A4">
              <w:rPr>
                <w:rStyle w:val="21"/>
              </w:rPr>
              <w:t xml:space="preserve">экономики и управления муниципальным имуществом </w:t>
            </w:r>
          </w:p>
        </w:tc>
      </w:tr>
      <w:tr w:rsidR="003D7AF1" w:rsidTr="00DE174C">
        <w:trPr>
          <w:trHeight w:val="60"/>
        </w:trPr>
        <w:tc>
          <w:tcPr>
            <w:tcW w:w="15662" w:type="dxa"/>
            <w:gridSpan w:val="6"/>
          </w:tcPr>
          <w:p w:rsidR="003D7AF1" w:rsidRDefault="003D7AF1" w:rsidP="003D7AF1">
            <w:pPr>
              <w:pStyle w:val="20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lang w:val="en-US" w:bidi="en-US"/>
              </w:rPr>
              <w:t>III</w:t>
            </w:r>
            <w:r w:rsidRPr="000C578F">
              <w:rPr>
                <w:lang w:bidi="en-US"/>
              </w:rPr>
              <w:t xml:space="preserve">. </w:t>
            </w:r>
            <w:r>
              <w:t xml:space="preserve">Оценка эффективности функционирования антимонопольного </w:t>
            </w:r>
            <w:proofErr w:type="spellStart"/>
            <w:r>
              <w:t>комплаенса</w:t>
            </w:r>
            <w:proofErr w:type="spellEnd"/>
          </w:p>
        </w:tc>
      </w:tr>
      <w:tr w:rsidR="003D7AF1" w:rsidTr="007C5339">
        <w:trPr>
          <w:trHeight w:val="60"/>
        </w:trPr>
        <w:tc>
          <w:tcPr>
            <w:tcW w:w="845" w:type="dxa"/>
          </w:tcPr>
          <w:p w:rsidR="003D7AF1" w:rsidRDefault="003D7AF1" w:rsidP="008249A4">
            <w:pPr>
              <w:pStyle w:val="20"/>
              <w:shd w:val="clear" w:color="auto" w:fill="auto"/>
              <w:ind w:right="300"/>
              <w:jc w:val="center"/>
            </w:pPr>
            <w:r>
              <w:t>6</w:t>
            </w:r>
          </w:p>
        </w:tc>
        <w:tc>
          <w:tcPr>
            <w:tcW w:w="3767" w:type="dxa"/>
          </w:tcPr>
          <w:p w:rsidR="003D7AF1" w:rsidRDefault="003D7AF1" w:rsidP="003D7AF1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r>
              <w:rPr>
                <w:rStyle w:val="21"/>
              </w:rPr>
              <w:t xml:space="preserve">Проведение оценки достижения ключевых показателей эффективности антимонопольного </w:t>
            </w:r>
            <w:proofErr w:type="spellStart"/>
            <w:r>
              <w:rPr>
                <w:rStyle w:val="21"/>
              </w:rPr>
              <w:t>комплаенса</w:t>
            </w:r>
            <w:proofErr w:type="spellEnd"/>
          </w:p>
        </w:tc>
        <w:tc>
          <w:tcPr>
            <w:tcW w:w="3295" w:type="dxa"/>
          </w:tcPr>
          <w:p w:rsidR="003D7AF1" w:rsidRDefault="003D7AF1" w:rsidP="008B4329">
            <w:pPr>
              <w:pStyle w:val="20"/>
              <w:shd w:val="clear" w:color="auto" w:fill="auto"/>
              <w:tabs>
                <w:tab w:val="left" w:pos="250"/>
              </w:tabs>
              <w:rPr>
                <w:rStyle w:val="21"/>
              </w:rPr>
            </w:pPr>
            <w:r>
              <w:rPr>
                <w:rStyle w:val="21"/>
              </w:rPr>
              <w:t xml:space="preserve">Установление ключевых показателей эффективности реализации мероприятий </w:t>
            </w:r>
            <w:proofErr w:type="gramStart"/>
            <w:r>
              <w:rPr>
                <w:rStyle w:val="21"/>
              </w:rPr>
              <w:t>антимонопольного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комплаенса</w:t>
            </w:r>
            <w:proofErr w:type="spellEnd"/>
          </w:p>
        </w:tc>
        <w:tc>
          <w:tcPr>
            <w:tcW w:w="3415" w:type="dxa"/>
          </w:tcPr>
          <w:p w:rsidR="003D7AF1" w:rsidRDefault="003D7AF1" w:rsidP="003D7AF1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r>
              <w:rPr>
                <w:rStyle w:val="21"/>
              </w:rPr>
              <w:t xml:space="preserve">Информация о достижении ключевых показателей эффективности функционирования в Администрации антимонопольного </w:t>
            </w:r>
            <w:proofErr w:type="spellStart"/>
            <w:r>
              <w:rPr>
                <w:rStyle w:val="21"/>
              </w:rPr>
              <w:t>комплаенса</w:t>
            </w:r>
            <w:proofErr w:type="spellEnd"/>
          </w:p>
        </w:tc>
        <w:tc>
          <w:tcPr>
            <w:tcW w:w="1977" w:type="dxa"/>
          </w:tcPr>
          <w:p w:rsidR="003D7AF1" w:rsidRDefault="00304A34" w:rsidP="00A60C53">
            <w:pPr>
              <w:pStyle w:val="20"/>
              <w:shd w:val="clear" w:color="auto" w:fill="auto"/>
              <w:ind w:right="300"/>
              <w:jc w:val="center"/>
              <w:rPr>
                <w:rStyle w:val="21"/>
              </w:rPr>
            </w:pPr>
            <w:r>
              <w:rPr>
                <w:rStyle w:val="21"/>
              </w:rPr>
              <w:t>2</w:t>
            </w:r>
            <w:r w:rsidR="00FC4D44">
              <w:rPr>
                <w:rStyle w:val="21"/>
              </w:rPr>
              <w:t>5</w:t>
            </w:r>
            <w:r w:rsidR="003D7AF1">
              <w:rPr>
                <w:rStyle w:val="21"/>
              </w:rPr>
              <w:t xml:space="preserve"> декабря 202</w:t>
            </w:r>
            <w:r w:rsidR="00A60C53">
              <w:rPr>
                <w:rStyle w:val="21"/>
              </w:rPr>
              <w:t>5</w:t>
            </w:r>
            <w:r w:rsidR="003D7AF1">
              <w:rPr>
                <w:rStyle w:val="21"/>
              </w:rPr>
              <w:t xml:space="preserve"> года</w:t>
            </w:r>
          </w:p>
        </w:tc>
        <w:tc>
          <w:tcPr>
            <w:tcW w:w="2363" w:type="dxa"/>
          </w:tcPr>
          <w:p w:rsidR="003D7AF1" w:rsidRDefault="003D7AF1" w:rsidP="00222AA1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Отдел правовой и кадровой работы </w:t>
            </w:r>
          </w:p>
        </w:tc>
      </w:tr>
      <w:tr w:rsidR="003D7AF1" w:rsidTr="007C5339">
        <w:trPr>
          <w:trHeight w:val="60"/>
        </w:trPr>
        <w:tc>
          <w:tcPr>
            <w:tcW w:w="845" w:type="dxa"/>
          </w:tcPr>
          <w:p w:rsidR="003D7AF1" w:rsidRDefault="003D7AF1" w:rsidP="008249A4">
            <w:pPr>
              <w:pStyle w:val="20"/>
              <w:shd w:val="clear" w:color="auto" w:fill="auto"/>
              <w:ind w:right="300"/>
              <w:jc w:val="center"/>
            </w:pPr>
            <w:r>
              <w:t>7</w:t>
            </w:r>
          </w:p>
        </w:tc>
        <w:tc>
          <w:tcPr>
            <w:tcW w:w="3767" w:type="dxa"/>
          </w:tcPr>
          <w:p w:rsidR="003D7AF1" w:rsidRDefault="003D7AF1" w:rsidP="003D7AF1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r>
              <w:rPr>
                <w:rStyle w:val="21"/>
              </w:rPr>
              <w:t xml:space="preserve">Утверждение коллегиальным органом доклада об </w:t>
            </w:r>
            <w:proofErr w:type="gramStart"/>
            <w:r>
              <w:rPr>
                <w:rStyle w:val="21"/>
              </w:rPr>
              <w:t>антимонопольном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комплаенсе</w:t>
            </w:r>
            <w:proofErr w:type="spellEnd"/>
          </w:p>
        </w:tc>
        <w:tc>
          <w:tcPr>
            <w:tcW w:w="3295" w:type="dxa"/>
          </w:tcPr>
          <w:p w:rsidR="003D7AF1" w:rsidRDefault="003D7AF1" w:rsidP="00222AA1">
            <w:pPr>
              <w:pStyle w:val="20"/>
              <w:shd w:val="clear" w:color="auto" w:fill="auto"/>
              <w:tabs>
                <w:tab w:val="left" w:pos="182"/>
              </w:tabs>
            </w:pPr>
            <w:r>
              <w:rPr>
                <w:rStyle w:val="21"/>
              </w:rPr>
              <w:t xml:space="preserve">Составление доклада об </w:t>
            </w:r>
            <w:proofErr w:type="spellStart"/>
            <w:r>
              <w:rPr>
                <w:rStyle w:val="21"/>
              </w:rPr>
              <w:t>антимонопльном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комплаенсе</w:t>
            </w:r>
            <w:proofErr w:type="spellEnd"/>
            <w:r>
              <w:rPr>
                <w:rStyle w:val="21"/>
              </w:rPr>
              <w:t>.</w:t>
            </w:r>
          </w:p>
          <w:p w:rsidR="003D7AF1" w:rsidRDefault="003D7AF1" w:rsidP="00222AA1">
            <w:pPr>
              <w:pStyle w:val="20"/>
              <w:shd w:val="clear" w:color="auto" w:fill="auto"/>
              <w:tabs>
                <w:tab w:val="left" w:pos="245"/>
              </w:tabs>
            </w:pPr>
            <w:r>
              <w:rPr>
                <w:rStyle w:val="21"/>
              </w:rPr>
              <w:t xml:space="preserve">Представление доклада об </w:t>
            </w:r>
            <w:proofErr w:type="spellStart"/>
            <w:r>
              <w:rPr>
                <w:rStyle w:val="21"/>
              </w:rPr>
              <w:t>антимонопльном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комплаенсе</w:t>
            </w:r>
            <w:proofErr w:type="spellEnd"/>
            <w:r>
              <w:rPr>
                <w:rStyle w:val="21"/>
              </w:rPr>
              <w:t xml:space="preserve"> в коллегиальный орган для его утверждения.</w:t>
            </w:r>
          </w:p>
          <w:p w:rsidR="003D7AF1" w:rsidRDefault="003D7AF1" w:rsidP="003D7AF1">
            <w:pPr>
              <w:pStyle w:val="20"/>
              <w:shd w:val="clear" w:color="auto" w:fill="auto"/>
              <w:tabs>
                <w:tab w:val="left" w:pos="250"/>
              </w:tabs>
              <w:rPr>
                <w:rStyle w:val="21"/>
              </w:rPr>
            </w:pPr>
            <w:r>
              <w:rPr>
                <w:rStyle w:val="21"/>
              </w:rPr>
              <w:t xml:space="preserve">Размещение доклада об </w:t>
            </w:r>
            <w:proofErr w:type="spellStart"/>
            <w:r>
              <w:rPr>
                <w:rStyle w:val="21"/>
              </w:rPr>
              <w:t>антимонопльном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комплаенсе</w:t>
            </w:r>
            <w:proofErr w:type="spellEnd"/>
            <w:r>
              <w:rPr>
                <w:rStyle w:val="21"/>
              </w:rPr>
              <w:t xml:space="preserve"> на официальном сайте</w:t>
            </w:r>
          </w:p>
        </w:tc>
        <w:tc>
          <w:tcPr>
            <w:tcW w:w="3415" w:type="dxa"/>
          </w:tcPr>
          <w:p w:rsidR="003D7AF1" w:rsidRDefault="003D7AF1" w:rsidP="003D7AF1">
            <w:pPr>
              <w:pStyle w:val="20"/>
              <w:shd w:val="clear" w:color="auto" w:fill="auto"/>
              <w:ind w:right="300"/>
              <w:rPr>
                <w:rStyle w:val="21"/>
              </w:rPr>
            </w:pPr>
            <w:r>
              <w:rPr>
                <w:rStyle w:val="21"/>
              </w:rPr>
              <w:t xml:space="preserve">Доклад об </w:t>
            </w:r>
            <w:proofErr w:type="gramStart"/>
            <w:r>
              <w:rPr>
                <w:rStyle w:val="21"/>
              </w:rPr>
              <w:t>антимонопольном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комплаенсе</w:t>
            </w:r>
            <w:proofErr w:type="spellEnd"/>
          </w:p>
        </w:tc>
        <w:tc>
          <w:tcPr>
            <w:tcW w:w="1977" w:type="dxa"/>
          </w:tcPr>
          <w:p w:rsidR="003D7AF1" w:rsidRDefault="003D7AF1" w:rsidP="003D7AF1">
            <w:pPr>
              <w:pStyle w:val="20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10 февраля 202</w:t>
            </w:r>
            <w:r w:rsidR="00FC4D44">
              <w:rPr>
                <w:rStyle w:val="21"/>
              </w:rPr>
              <w:t>5</w:t>
            </w:r>
            <w:r>
              <w:rPr>
                <w:rStyle w:val="21"/>
              </w:rPr>
              <w:t xml:space="preserve"> года</w:t>
            </w:r>
          </w:p>
          <w:p w:rsidR="003D7AF1" w:rsidRDefault="003D7AF1" w:rsidP="003D7AF1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3D7AF1" w:rsidRDefault="003D7AF1" w:rsidP="003D7AF1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3D7AF1" w:rsidRDefault="003D7AF1" w:rsidP="003D7AF1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222AA1" w:rsidRDefault="00222AA1" w:rsidP="003D7AF1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3D7AF1" w:rsidRDefault="003D7AF1" w:rsidP="003D7AF1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В течени</w:t>
            </w:r>
            <w:proofErr w:type="gramStart"/>
            <w:r>
              <w:rPr>
                <w:rStyle w:val="21"/>
              </w:rPr>
              <w:t>и</w:t>
            </w:r>
            <w:proofErr w:type="gramEnd"/>
            <w:r>
              <w:rPr>
                <w:rStyle w:val="21"/>
              </w:rPr>
              <w:t xml:space="preserve"> 5 календарных дней с момента утверждения</w:t>
            </w:r>
          </w:p>
          <w:p w:rsidR="003D7AF1" w:rsidRDefault="003D7AF1" w:rsidP="008249A4">
            <w:pPr>
              <w:pStyle w:val="20"/>
              <w:shd w:val="clear" w:color="auto" w:fill="auto"/>
              <w:ind w:right="300"/>
              <w:jc w:val="center"/>
              <w:rPr>
                <w:rStyle w:val="21"/>
              </w:rPr>
            </w:pPr>
          </w:p>
        </w:tc>
        <w:tc>
          <w:tcPr>
            <w:tcW w:w="2363" w:type="dxa"/>
          </w:tcPr>
          <w:p w:rsidR="002B37E9" w:rsidRDefault="00222AA1" w:rsidP="002B37E9">
            <w:pPr>
              <w:pStyle w:val="20"/>
              <w:shd w:val="clear" w:color="auto" w:fill="auto"/>
            </w:pPr>
            <w:r>
              <w:rPr>
                <w:rStyle w:val="21"/>
              </w:rPr>
              <w:t>О</w:t>
            </w:r>
            <w:r w:rsidR="002B37E9">
              <w:rPr>
                <w:rStyle w:val="21"/>
              </w:rPr>
              <w:t>тдел</w:t>
            </w:r>
          </w:p>
          <w:p w:rsidR="003D7AF1" w:rsidRDefault="002B37E9" w:rsidP="002B37E9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экономики и управления муниципальным имуществом</w:t>
            </w:r>
          </w:p>
        </w:tc>
      </w:tr>
    </w:tbl>
    <w:p w:rsidR="00D369B3" w:rsidRDefault="00D369B3" w:rsidP="008249A4">
      <w:pPr>
        <w:pStyle w:val="20"/>
        <w:shd w:val="clear" w:color="auto" w:fill="auto"/>
        <w:ind w:right="300"/>
        <w:jc w:val="center"/>
      </w:pPr>
    </w:p>
    <w:p w:rsidR="00D369B3" w:rsidRDefault="00D369B3" w:rsidP="008249A4">
      <w:pPr>
        <w:pStyle w:val="20"/>
        <w:shd w:val="clear" w:color="auto" w:fill="auto"/>
        <w:ind w:right="300"/>
        <w:jc w:val="center"/>
      </w:pPr>
    </w:p>
    <w:p w:rsidR="00D369B3" w:rsidRDefault="00D369B3" w:rsidP="008249A4">
      <w:pPr>
        <w:pStyle w:val="20"/>
        <w:shd w:val="clear" w:color="auto" w:fill="auto"/>
        <w:ind w:right="300"/>
        <w:jc w:val="center"/>
      </w:pPr>
    </w:p>
    <w:p w:rsidR="00D369B3" w:rsidRDefault="00D369B3" w:rsidP="008249A4">
      <w:pPr>
        <w:pStyle w:val="20"/>
        <w:shd w:val="clear" w:color="auto" w:fill="auto"/>
        <w:ind w:right="300"/>
        <w:jc w:val="center"/>
      </w:pPr>
    </w:p>
    <w:p w:rsidR="00D369B3" w:rsidRDefault="00D369B3" w:rsidP="008249A4">
      <w:pPr>
        <w:pStyle w:val="20"/>
        <w:shd w:val="clear" w:color="auto" w:fill="auto"/>
        <w:ind w:right="300"/>
        <w:jc w:val="center"/>
      </w:pPr>
    </w:p>
    <w:p w:rsidR="00D369B3" w:rsidRDefault="00D369B3" w:rsidP="008249A4">
      <w:pPr>
        <w:pStyle w:val="20"/>
        <w:shd w:val="clear" w:color="auto" w:fill="auto"/>
        <w:ind w:right="300"/>
        <w:jc w:val="center"/>
      </w:pPr>
    </w:p>
    <w:p w:rsidR="00D369B3" w:rsidRDefault="00D369B3" w:rsidP="008249A4">
      <w:pPr>
        <w:pStyle w:val="20"/>
        <w:shd w:val="clear" w:color="auto" w:fill="auto"/>
        <w:ind w:right="300"/>
        <w:jc w:val="center"/>
      </w:pPr>
    </w:p>
    <w:p w:rsidR="008249A4" w:rsidRDefault="008249A4" w:rsidP="008249A4">
      <w:pPr>
        <w:pStyle w:val="20"/>
        <w:shd w:val="clear" w:color="auto" w:fill="auto"/>
        <w:ind w:right="300"/>
        <w:jc w:val="center"/>
      </w:pPr>
    </w:p>
    <w:p w:rsidR="008249A4" w:rsidRDefault="008249A4" w:rsidP="008249A4">
      <w:pPr>
        <w:rPr>
          <w:sz w:val="2"/>
          <w:szCs w:val="2"/>
        </w:rPr>
        <w:sectPr w:rsidR="008249A4" w:rsidSect="007C5339">
          <w:pgSz w:w="16840" w:h="11900" w:orient="landscape"/>
          <w:pgMar w:top="568" w:right="544" w:bottom="851" w:left="850" w:header="0" w:footer="3" w:gutter="0"/>
          <w:cols w:space="720"/>
          <w:noEndnote/>
          <w:docGrid w:linePitch="360"/>
        </w:sectPr>
      </w:pPr>
    </w:p>
    <w:p w:rsidR="008249A4" w:rsidRDefault="008249A4" w:rsidP="008249A4">
      <w:pPr>
        <w:framePr w:w="15413" w:wrap="notBeside" w:vAnchor="text" w:hAnchor="text" w:xAlign="center" w:y="1"/>
        <w:rPr>
          <w:sz w:val="2"/>
          <w:szCs w:val="2"/>
        </w:rPr>
      </w:pPr>
    </w:p>
    <w:p w:rsidR="008249A4" w:rsidRDefault="008249A4" w:rsidP="00A60C53"/>
    <w:sectPr w:rsidR="008249A4" w:rsidSect="008249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0A9"/>
    <w:multiLevelType w:val="multilevel"/>
    <w:tmpl w:val="154C5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67E98"/>
    <w:multiLevelType w:val="multilevel"/>
    <w:tmpl w:val="AE80F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D229E"/>
    <w:multiLevelType w:val="multilevel"/>
    <w:tmpl w:val="8E861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F7E61"/>
    <w:multiLevelType w:val="multilevel"/>
    <w:tmpl w:val="63949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9A4"/>
    <w:rsid w:val="00086AD3"/>
    <w:rsid w:val="000E2931"/>
    <w:rsid w:val="00222AA1"/>
    <w:rsid w:val="002B37E9"/>
    <w:rsid w:val="00304A34"/>
    <w:rsid w:val="00310435"/>
    <w:rsid w:val="003D7AF1"/>
    <w:rsid w:val="00460DA9"/>
    <w:rsid w:val="00471E93"/>
    <w:rsid w:val="00474262"/>
    <w:rsid w:val="007C5339"/>
    <w:rsid w:val="008249A4"/>
    <w:rsid w:val="008B4329"/>
    <w:rsid w:val="0098447F"/>
    <w:rsid w:val="00A44DF2"/>
    <w:rsid w:val="00A60C53"/>
    <w:rsid w:val="00AA7F96"/>
    <w:rsid w:val="00B008CC"/>
    <w:rsid w:val="00C502F7"/>
    <w:rsid w:val="00CC4034"/>
    <w:rsid w:val="00D369B3"/>
    <w:rsid w:val="00D64EA1"/>
    <w:rsid w:val="00E2464E"/>
    <w:rsid w:val="00EE5389"/>
    <w:rsid w:val="00F37967"/>
    <w:rsid w:val="00F74D6D"/>
    <w:rsid w:val="00F9503D"/>
    <w:rsid w:val="00FC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9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49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249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11pt">
    <w:name w:val="Основной текст (2) + Arial;11 pt;Не полужирный"/>
    <w:basedOn w:val="2"/>
    <w:rsid w:val="008249A4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49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8pt">
    <w:name w:val="Основной текст (2) + 8 pt"/>
    <w:basedOn w:val="2"/>
    <w:rsid w:val="008249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6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B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D3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024A7-BFE0-4A56-8D9B-E36D782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21</cp:revision>
  <cp:lastPrinted>2024-12-20T11:20:00Z</cp:lastPrinted>
  <dcterms:created xsi:type="dcterms:W3CDTF">2022-04-15T03:19:00Z</dcterms:created>
  <dcterms:modified xsi:type="dcterms:W3CDTF">2024-12-24T06:07:00Z</dcterms:modified>
</cp:coreProperties>
</file>