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9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Лебяжьевского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_______________________А. Р. БАРЧ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</w:p>
    <w:p w:rsidR="008249A4" w:rsidRP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B5504">
        <w:rPr>
          <w:rFonts w:ascii="Times New Roman" w:hAnsi="Times New Roman" w:cs="Times New Roman"/>
        </w:rPr>
        <w:t xml:space="preserve"> </w:t>
      </w:r>
      <w:r w:rsidR="007B5504" w:rsidRPr="007B5504">
        <w:rPr>
          <w:rFonts w:ascii="Times New Roman" w:hAnsi="Times New Roman" w:cs="Times New Roman"/>
          <w:u w:val="single"/>
        </w:rPr>
        <w:t>20</w:t>
      </w:r>
      <w:r w:rsidR="007B5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="007B5504">
        <w:rPr>
          <w:rFonts w:ascii="Times New Roman" w:hAnsi="Times New Roman" w:cs="Times New Roman"/>
        </w:rPr>
        <w:t xml:space="preserve"> </w:t>
      </w:r>
      <w:r w:rsidR="007931E0">
        <w:rPr>
          <w:rFonts w:ascii="Times New Roman" w:hAnsi="Times New Roman" w:cs="Times New Roman"/>
          <w:u w:val="single"/>
        </w:rPr>
        <w:t>мая</w:t>
      </w:r>
      <w:r w:rsidR="007B5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год</w:t>
      </w:r>
      <w:r w:rsidR="007931E0">
        <w:rPr>
          <w:rFonts w:ascii="Times New Roman" w:hAnsi="Times New Roman" w:cs="Times New Roman"/>
        </w:rPr>
        <w:t>а</w:t>
      </w:r>
    </w:p>
    <w:p w:rsidR="008249A4" w:rsidRDefault="008249A4"/>
    <w:p w:rsidR="008249A4" w:rsidRDefault="008249A4" w:rsidP="008249A4">
      <w:pPr>
        <w:pStyle w:val="20"/>
        <w:shd w:val="clear" w:color="auto" w:fill="auto"/>
        <w:ind w:left="7160"/>
      </w:pPr>
      <w:r>
        <w:rPr>
          <w:color w:val="000000"/>
          <w:lang w:eastAsia="ru-RU" w:bidi="ru-RU"/>
        </w:rPr>
        <w:t>ПЛАН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  <w:r>
        <w:rPr>
          <w:color w:val="000000"/>
          <w:lang w:eastAsia="ru-RU" w:bidi="ru-RU"/>
        </w:rPr>
        <w:t xml:space="preserve">мероприятий («дорожная карта») по снижению </w:t>
      </w:r>
      <w:proofErr w:type="spellStart"/>
      <w:r>
        <w:rPr>
          <w:color w:val="000000"/>
          <w:lang w:eastAsia="ru-RU" w:bidi="ru-RU"/>
        </w:rPr>
        <w:t>комплаенс-рисков</w:t>
      </w:r>
      <w:proofErr w:type="spellEnd"/>
      <w:r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br/>
      </w:r>
      <w:proofErr w:type="spellStart"/>
      <w:r>
        <w:t>Лебяжьевском</w:t>
      </w:r>
      <w:proofErr w:type="spellEnd"/>
      <w:r>
        <w:t xml:space="preserve"> муниципальном округе на 2022 год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tbl>
      <w:tblPr>
        <w:tblStyle w:val="a5"/>
        <w:tblW w:w="0" w:type="auto"/>
        <w:tblLook w:val="04A0"/>
      </w:tblPr>
      <w:tblGrid>
        <w:gridCol w:w="845"/>
        <w:gridCol w:w="3767"/>
        <w:gridCol w:w="3295"/>
        <w:gridCol w:w="3415"/>
        <w:gridCol w:w="1977"/>
        <w:gridCol w:w="2363"/>
      </w:tblGrid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Наименование мероприятия</w:t>
            </w:r>
          </w:p>
        </w:tc>
        <w:tc>
          <w:tcPr>
            <w:tcW w:w="329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Механизм реализации мероприятия</w:t>
            </w:r>
          </w:p>
        </w:tc>
        <w:tc>
          <w:tcPr>
            <w:tcW w:w="341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Результат (документ, мероприятие, показатель)</w:t>
            </w:r>
          </w:p>
        </w:tc>
        <w:tc>
          <w:tcPr>
            <w:tcW w:w="197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Срок исполнения мероприятия</w:t>
            </w:r>
          </w:p>
        </w:tc>
        <w:tc>
          <w:tcPr>
            <w:tcW w:w="2363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Ответственный исполнитель (соисполнитель)</w:t>
            </w:r>
          </w:p>
        </w:tc>
      </w:tr>
      <w:tr w:rsidR="007C5339" w:rsidTr="009352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I. Организация внутреннего контроля соблюдения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1</w:t>
            </w:r>
          </w:p>
        </w:tc>
        <w:tc>
          <w:tcPr>
            <w:tcW w:w="3767" w:type="dxa"/>
          </w:tcPr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proofErr w:type="gramStart"/>
            <w:r>
              <w:rPr>
                <w:rStyle w:val="21"/>
              </w:rPr>
              <w:t>Проведение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</w:pPr>
          </w:p>
        </w:tc>
        <w:tc>
          <w:tcPr>
            <w:tcW w:w="3295" w:type="dxa"/>
          </w:tcPr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Сбор информации, поступившей от структурных подразделений Администрации </w:t>
            </w:r>
            <w:proofErr w:type="spellStart"/>
            <w:r>
              <w:rPr>
                <w:rStyle w:val="21"/>
              </w:rPr>
              <w:t>Лебяжьевского</w:t>
            </w:r>
            <w:proofErr w:type="spellEnd"/>
            <w:r>
              <w:rPr>
                <w:rStyle w:val="21"/>
              </w:rPr>
              <w:t xml:space="preserve"> муниципального округа (далее - Администрация), касающейся выявления рисков нарушения антимонопольного законодательства, учета обстоятельств, связанных с рисками нарушения</w:t>
            </w:r>
          </w:p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>антимонопольного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законодательства</w:t>
            </w:r>
          </w:p>
        </w:tc>
        <w:tc>
          <w:tcPr>
            <w:tcW w:w="3415" w:type="dxa"/>
          </w:tcPr>
          <w:p w:rsidR="007C5339" w:rsidRDefault="00D369B3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>Перечень нарушений антимонопольного законодательства в администрации в соответствии с Методическими рекомендациями, утвержденными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</w:p>
          <w:p w:rsidR="00222AA1" w:rsidRPr="007C5339" w:rsidRDefault="00222AA1" w:rsidP="00D369B3">
            <w:pPr>
              <w:pStyle w:val="20"/>
              <w:shd w:val="clear" w:color="auto" w:fill="auto"/>
              <w:ind w:right="300"/>
              <w:rPr>
                <w:b w:val="0"/>
                <w:bCs w:val="0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77" w:type="dxa"/>
          </w:tcPr>
          <w:p w:rsidR="00D369B3" w:rsidRPr="00D369B3" w:rsidRDefault="00D369B3" w:rsidP="00F9503D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  <w:r w:rsidRPr="00D369B3">
              <w:rPr>
                <w:b w:val="0"/>
              </w:rPr>
              <w:t xml:space="preserve">1 февраля </w:t>
            </w:r>
            <w:r w:rsidR="00F9503D">
              <w:rPr>
                <w:b w:val="0"/>
              </w:rPr>
              <w:t xml:space="preserve">года, следующего за </w:t>
            </w:r>
            <w:proofErr w:type="gramStart"/>
            <w:r w:rsidR="00F9503D">
              <w:rPr>
                <w:b w:val="0"/>
              </w:rPr>
              <w:t>отчетным</w:t>
            </w:r>
            <w:proofErr w:type="gramEnd"/>
          </w:p>
        </w:tc>
        <w:tc>
          <w:tcPr>
            <w:tcW w:w="2363" w:type="dxa"/>
          </w:tcPr>
          <w:p w:rsidR="00D369B3" w:rsidRDefault="00222AA1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О</w:t>
            </w:r>
            <w:r w:rsidR="00D369B3">
              <w:rPr>
                <w:b w:val="0"/>
              </w:rPr>
              <w:t>тдел правовой и кадровой работы;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D369B3" w:rsidRPr="00D369B3" w:rsidRDefault="00222AA1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С</w:t>
            </w:r>
            <w:r w:rsidR="00D369B3">
              <w:rPr>
                <w:b w:val="0"/>
              </w:rPr>
              <w:t xml:space="preserve">труктурные подразделения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2</w:t>
            </w:r>
          </w:p>
        </w:tc>
        <w:tc>
          <w:tcPr>
            <w:tcW w:w="3767" w:type="dxa"/>
          </w:tcPr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мониторинга и анализа практики применения антимонопольного законодательства в Администрации</w:t>
            </w: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Предотвращение/недопущение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нарушения антимонопольного законодательства в принятых и разрабатываемых нормативных правовых актах Администрации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</w:tc>
        <w:tc>
          <w:tcPr>
            <w:tcW w:w="3295" w:type="dxa"/>
          </w:tcPr>
          <w:p w:rsidR="007C5339" w:rsidRPr="00D369B3" w:rsidRDefault="007C5339" w:rsidP="007C533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ежегодных рабочих совещаний по обсуждению результатов правоприменительной практики в Администрации</w:t>
            </w: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rStyle w:val="21"/>
                <w:color w:val="auto"/>
              </w:rPr>
              <w:t>Повышение квалификации должностных лиц; повышение эффективности процесса управления; анализ НПА и проектов НПА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7C5339" w:rsidP="007C5339">
            <w:pPr>
              <w:pStyle w:val="20"/>
              <w:shd w:val="clear" w:color="auto" w:fill="auto"/>
              <w:ind w:right="300"/>
              <w:rPr>
                <w:b w:val="0"/>
              </w:rPr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</w:tc>
        <w:tc>
          <w:tcPr>
            <w:tcW w:w="1977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 w:rsidRPr="00D369B3">
              <w:rPr>
                <w:rStyle w:val="21"/>
                <w:color w:val="auto"/>
              </w:rPr>
              <w:t>ежеквартально</w:t>
            </w:r>
          </w:p>
        </w:tc>
        <w:tc>
          <w:tcPr>
            <w:tcW w:w="2363" w:type="dxa"/>
          </w:tcPr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Отдел</w:t>
            </w:r>
          </w:p>
          <w:p w:rsidR="007C5339" w:rsidRPr="00D369B3" w:rsidRDefault="00F9503D" w:rsidP="00222AA1">
            <w:pPr>
              <w:pStyle w:val="20"/>
              <w:shd w:val="clear" w:color="auto" w:fill="auto"/>
            </w:pPr>
            <w:r>
              <w:rPr>
                <w:rStyle w:val="21"/>
                <w:color w:val="auto"/>
              </w:rPr>
              <w:t>п</w:t>
            </w:r>
            <w:r w:rsidR="007C5339" w:rsidRPr="00D369B3">
              <w:rPr>
                <w:rStyle w:val="21"/>
                <w:color w:val="auto"/>
              </w:rPr>
              <w:t>равовой и кадровой работы;</w:t>
            </w:r>
          </w:p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структурные</w:t>
            </w:r>
          </w:p>
          <w:p w:rsidR="00D369B3" w:rsidRPr="00222AA1" w:rsidRDefault="007C5339" w:rsidP="00222AA1">
            <w:pPr>
              <w:pStyle w:val="20"/>
              <w:shd w:val="clear" w:color="auto" w:fill="auto"/>
              <w:rPr>
                <w:rStyle w:val="21"/>
                <w:b/>
                <w:bCs/>
                <w:color w:val="auto"/>
                <w:shd w:val="clear" w:color="auto" w:fill="auto"/>
                <w:lang w:eastAsia="en-US" w:bidi="ar-SA"/>
              </w:rPr>
            </w:pPr>
            <w:r w:rsidRPr="00D369B3">
              <w:rPr>
                <w:rStyle w:val="21"/>
                <w:color w:val="auto"/>
              </w:rPr>
              <w:t>подразделения, разрабатывающие НПА</w:t>
            </w:r>
          </w:p>
          <w:p w:rsidR="007C5339" w:rsidRDefault="007C5339" w:rsidP="007C5339">
            <w:pPr>
              <w:pStyle w:val="20"/>
              <w:shd w:val="clear" w:color="auto" w:fill="auto"/>
              <w:ind w:right="300"/>
              <w:jc w:val="center"/>
            </w:pPr>
          </w:p>
        </w:tc>
      </w:tr>
      <w:tr w:rsidR="007C5339" w:rsidTr="004F55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 xml:space="preserve">II. </w:t>
            </w:r>
            <w:r>
              <w:t>Мероприятия по снижению рисков нарушения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Проведение мониторинга изменений действующего законодательства в сфере 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295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Изучение действующего законодательства в </w:t>
            </w:r>
            <w:r w:rsidR="00F9503D">
              <w:rPr>
                <w:rStyle w:val="21"/>
              </w:rPr>
              <w:t xml:space="preserve">сфере </w:t>
            </w:r>
            <w:r>
              <w:rPr>
                <w:rStyle w:val="21"/>
              </w:rPr>
              <w:t xml:space="preserve">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415" w:type="dxa"/>
          </w:tcPr>
          <w:p w:rsidR="007C5339" w:rsidRDefault="007C5339" w:rsidP="007C5339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Внесение изменений в </w:t>
            </w:r>
            <w:proofErr w:type="gramStart"/>
            <w:r>
              <w:rPr>
                <w:rStyle w:val="21"/>
              </w:rPr>
              <w:t>действующие</w:t>
            </w:r>
            <w:proofErr w:type="gramEnd"/>
          </w:p>
          <w:p w:rsidR="00D369B3" w:rsidRDefault="007C5339" w:rsidP="007C5339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Административные регламенты в случае необходимости</w:t>
            </w:r>
          </w:p>
        </w:tc>
        <w:tc>
          <w:tcPr>
            <w:tcW w:w="197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t>е</w:t>
            </w:r>
            <w:r w:rsidRPr="007C5339">
              <w:rPr>
                <w:b w:val="0"/>
              </w:rPr>
              <w:t>жеквартально</w:t>
            </w:r>
          </w:p>
        </w:tc>
        <w:tc>
          <w:tcPr>
            <w:tcW w:w="2363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 w:rsidRPr="008249A4"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Разработка и утверждение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С</w:t>
            </w:r>
            <w:r w:rsidR="007C5339">
              <w:rPr>
                <w:rStyle w:val="21"/>
              </w:rPr>
              <w:t>оставление перечня мер по снижению рисков нарушения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П</w:t>
            </w:r>
            <w:r w:rsidR="007C5339">
              <w:rPr>
                <w:rStyle w:val="21"/>
              </w:rPr>
              <w:t>еречень мер, необходимых для устранения причин и условий недопущения, ограничения и устранения конкуренции и последовательность их применения, необходимых для устранения выявленных рисков</w:t>
            </w:r>
          </w:p>
        </w:tc>
        <w:tc>
          <w:tcPr>
            <w:tcW w:w="1977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>20 декабря 2022 года</w:t>
            </w:r>
          </w:p>
        </w:tc>
        <w:tc>
          <w:tcPr>
            <w:tcW w:w="2363" w:type="dxa"/>
          </w:tcPr>
          <w:p w:rsidR="007C5339" w:rsidRDefault="007C5339" w:rsidP="00222AA1">
            <w:pPr>
              <w:pStyle w:val="20"/>
              <w:shd w:val="clear" w:color="auto" w:fill="auto"/>
            </w:pPr>
            <w:r>
              <w:rPr>
                <w:rStyle w:val="21"/>
              </w:rPr>
              <w:t>Отдел</w:t>
            </w:r>
          </w:p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b w:val="0"/>
              </w:rPr>
              <w:t>п</w:t>
            </w:r>
            <w:r w:rsidRPr="000C578F">
              <w:rPr>
                <w:b w:val="0"/>
              </w:rPr>
              <w:t xml:space="preserve">равовой и кадровой работы </w:t>
            </w:r>
          </w:p>
        </w:tc>
      </w:tr>
      <w:tr w:rsidR="007C5339" w:rsidTr="007C5339">
        <w:trPr>
          <w:trHeight w:val="60"/>
        </w:trPr>
        <w:tc>
          <w:tcPr>
            <w:tcW w:w="845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5</w:t>
            </w:r>
          </w:p>
        </w:tc>
        <w:tc>
          <w:tcPr>
            <w:tcW w:w="3767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Мониторинг исполнения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7C5339" w:rsidRDefault="007C5339" w:rsidP="00222AA1">
            <w:pPr>
              <w:pStyle w:val="20"/>
              <w:shd w:val="clear" w:color="auto" w:fill="auto"/>
              <w:tabs>
                <w:tab w:val="left" w:pos="250"/>
              </w:tabs>
            </w:pPr>
            <w:r>
              <w:rPr>
                <w:rStyle w:val="21"/>
              </w:rPr>
              <w:t xml:space="preserve">Сбор информации об исполнении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  <w:r>
              <w:rPr>
                <w:rStyle w:val="21"/>
              </w:rPr>
              <w:t>.</w:t>
            </w: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Подготовка отчета (информации) об исполнении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3415" w:type="dxa"/>
          </w:tcPr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Отчет (информация) по исполнению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1977" w:type="dxa"/>
          </w:tcPr>
          <w:p w:rsidR="007C5339" w:rsidRDefault="008B4329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31 декабря 2022 года</w:t>
            </w:r>
          </w:p>
        </w:tc>
        <w:tc>
          <w:tcPr>
            <w:tcW w:w="2363" w:type="dxa"/>
          </w:tcPr>
          <w:p w:rsidR="008B4329" w:rsidRDefault="008B4329" w:rsidP="008B432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Отдел</w:t>
            </w:r>
          </w:p>
          <w:p w:rsidR="007C5339" w:rsidRDefault="008B4329" w:rsidP="00222AA1">
            <w:pPr>
              <w:pStyle w:val="20"/>
              <w:shd w:val="clear" w:color="auto" w:fill="auto"/>
              <w:rPr>
                <w:rStyle w:val="21"/>
              </w:rPr>
            </w:pPr>
            <w:r w:rsidRPr="008249A4">
              <w:rPr>
                <w:rStyle w:val="21"/>
              </w:rPr>
              <w:t xml:space="preserve">экономики и управления муниципальным имуществом </w:t>
            </w:r>
          </w:p>
        </w:tc>
      </w:tr>
      <w:tr w:rsidR="003D7AF1" w:rsidTr="00DE174C">
        <w:trPr>
          <w:trHeight w:val="60"/>
        </w:trPr>
        <w:tc>
          <w:tcPr>
            <w:tcW w:w="15662" w:type="dxa"/>
            <w:gridSpan w:val="6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lang w:val="en-US" w:bidi="en-US"/>
              </w:rPr>
              <w:t>III</w:t>
            </w:r>
            <w:r w:rsidRPr="000C578F">
              <w:rPr>
                <w:lang w:bidi="en-US"/>
              </w:rPr>
              <w:t xml:space="preserve">. </w:t>
            </w:r>
            <w:r>
              <w:t xml:space="preserve">Оценка эффективности функционирования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Проведение оценки достижения ключевых показателей эффективности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295" w:type="dxa"/>
          </w:tcPr>
          <w:p w:rsidR="003D7AF1" w:rsidRDefault="003D7AF1" w:rsidP="008B432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>
              <w:rPr>
                <w:rStyle w:val="21"/>
              </w:rPr>
              <w:t>антимонопольного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Информация о достижении ключевых показателей эффективности функционирования в Администрации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1977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31 декабря 2022 года</w:t>
            </w:r>
          </w:p>
        </w:tc>
        <w:tc>
          <w:tcPr>
            <w:tcW w:w="2363" w:type="dxa"/>
          </w:tcPr>
          <w:p w:rsidR="003D7AF1" w:rsidRDefault="003D7AF1" w:rsidP="00222AA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Утверждение коллегиальным органом доклада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3295" w:type="dxa"/>
          </w:tcPr>
          <w:p w:rsidR="003D7AF1" w:rsidRDefault="003D7AF1" w:rsidP="00222AA1">
            <w:pPr>
              <w:pStyle w:val="20"/>
              <w:shd w:val="clear" w:color="auto" w:fill="auto"/>
              <w:tabs>
                <w:tab w:val="left" w:pos="182"/>
              </w:tabs>
            </w:pPr>
            <w:r>
              <w:rPr>
                <w:rStyle w:val="21"/>
              </w:rPr>
              <w:t xml:space="preserve">Составление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>.</w:t>
            </w:r>
          </w:p>
          <w:p w:rsidR="003D7AF1" w:rsidRDefault="003D7AF1" w:rsidP="00222AA1">
            <w:pPr>
              <w:pStyle w:val="20"/>
              <w:shd w:val="clear" w:color="auto" w:fill="auto"/>
              <w:tabs>
                <w:tab w:val="left" w:pos="245"/>
              </w:tabs>
            </w:pPr>
            <w:r>
              <w:rPr>
                <w:rStyle w:val="21"/>
              </w:rPr>
              <w:t xml:space="preserve">Представление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в коллегиальный орган для его утверждения.</w:t>
            </w:r>
          </w:p>
          <w:p w:rsidR="003D7AF1" w:rsidRDefault="003D7AF1" w:rsidP="003D7AF1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Размещение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на официальном сайте</w:t>
            </w:r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Доклад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1977" w:type="dxa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10 февраля 2023 года</w:t>
            </w: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222AA1" w:rsidRDefault="00222AA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5 календарных дней с момента утверждения</w:t>
            </w:r>
          </w:p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</w:p>
        </w:tc>
        <w:tc>
          <w:tcPr>
            <w:tcW w:w="2363" w:type="dxa"/>
          </w:tcPr>
          <w:p w:rsidR="002B37E9" w:rsidRDefault="00222AA1" w:rsidP="002B37E9">
            <w:pPr>
              <w:pStyle w:val="20"/>
              <w:shd w:val="clear" w:color="auto" w:fill="auto"/>
            </w:pPr>
            <w:r>
              <w:rPr>
                <w:rStyle w:val="21"/>
              </w:rPr>
              <w:t>О</w:t>
            </w:r>
            <w:r w:rsidR="002B37E9">
              <w:rPr>
                <w:rStyle w:val="21"/>
              </w:rPr>
              <w:t>тдел</w:t>
            </w:r>
          </w:p>
          <w:p w:rsidR="003D7AF1" w:rsidRDefault="002B37E9" w:rsidP="002B37E9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экономики и управления муниципальным имуществом</w:t>
            </w:r>
          </w:p>
        </w:tc>
      </w:tr>
    </w:tbl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rPr>
          <w:sz w:val="2"/>
          <w:szCs w:val="2"/>
        </w:rPr>
        <w:sectPr w:rsidR="008249A4" w:rsidSect="007C5339">
          <w:pgSz w:w="16840" w:h="11900" w:orient="landscape"/>
          <w:pgMar w:top="568" w:right="544" w:bottom="851" w:left="850" w:header="0" w:footer="3" w:gutter="0"/>
          <w:cols w:space="720"/>
          <w:noEndnote/>
          <w:docGrid w:linePitch="360"/>
        </w:sectPr>
      </w:pPr>
    </w:p>
    <w:p w:rsidR="008249A4" w:rsidRDefault="008249A4" w:rsidP="008249A4">
      <w:pPr>
        <w:framePr w:w="15413" w:wrap="notBeside" w:vAnchor="text" w:hAnchor="text" w:xAlign="center" w:y="1"/>
        <w:rPr>
          <w:sz w:val="2"/>
          <w:szCs w:val="2"/>
        </w:rPr>
      </w:pPr>
    </w:p>
    <w:p w:rsidR="008249A4" w:rsidRDefault="008249A4" w:rsidP="00AA7F96"/>
    <w:sectPr w:rsidR="008249A4" w:rsidSect="00824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0A9"/>
    <w:multiLevelType w:val="multilevel"/>
    <w:tmpl w:val="154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67E98"/>
    <w:multiLevelType w:val="multilevel"/>
    <w:tmpl w:val="AE80F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D229E"/>
    <w:multiLevelType w:val="multilevel"/>
    <w:tmpl w:val="8E861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F7E61"/>
    <w:multiLevelType w:val="multilevel"/>
    <w:tmpl w:val="6394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A4"/>
    <w:rsid w:val="00086AD3"/>
    <w:rsid w:val="00222AA1"/>
    <w:rsid w:val="002B37E9"/>
    <w:rsid w:val="00310435"/>
    <w:rsid w:val="003D7AF1"/>
    <w:rsid w:val="00460DA9"/>
    <w:rsid w:val="005C0C27"/>
    <w:rsid w:val="00733C8C"/>
    <w:rsid w:val="007931E0"/>
    <w:rsid w:val="007B5504"/>
    <w:rsid w:val="007C5339"/>
    <w:rsid w:val="008249A4"/>
    <w:rsid w:val="008B4329"/>
    <w:rsid w:val="0098447F"/>
    <w:rsid w:val="00AA7F96"/>
    <w:rsid w:val="00B008CC"/>
    <w:rsid w:val="00CC4034"/>
    <w:rsid w:val="00D369B3"/>
    <w:rsid w:val="00EE5389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9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249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11pt">
    <w:name w:val="Основной текст (2) + Arial;11 pt;Не полужирный"/>
    <w:basedOn w:val="2"/>
    <w:rsid w:val="008249A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49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8pt">
    <w:name w:val="Основной текст (2) + 8 pt"/>
    <w:basedOn w:val="2"/>
    <w:rsid w:val="008249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3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21A1-31F8-42D3-B56D-6B1FE5C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cp:lastPrinted>2022-05-19T05:14:00Z</cp:lastPrinted>
  <dcterms:created xsi:type="dcterms:W3CDTF">2022-04-15T03:19:00Z</dcterms:created>
  <dcterms:modified xsi:type="dcterms:W3CDTF">2023-02-10T06:32:00Z</dcterms:modified>
</cp:coreProperties>
</file>