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B2" w:rsidRDefault="00CB61B2" w:rsidP="00CB61B2">
      <w:pPr>
        <w:ind w:firstLine="709"/>
        <w:jc w:val="center"/>
        <w:rPr>
          <w:rFonts w:ascii="Arial" w:hAnsi="Arial" w:cs="Arial"/>
          <w:b/>
        </w:rPr>
      </w:pPr>
      <w:r w:rsidRPr="00CB61B2">
        <w:rPr>
          <w:rFonts w:ascii="Arial" w:hAnsi="Arial" w:cs="Arial"/>
          <w:b/>
        </w:rPr>
        <w:t>Т</w:t>
      </w:r>
      <w:r w:rsidRPr="00CB61B2">
        <w:rPr>
          <w:rFonts w:ascii="Arial" w:hAnsi="Arial" w:cs="Arial"/>
          <w:b/>
        </w:rPr>
        <w:t>ематические направления вопросов для индивидуального собеседования с претендентами на должность Главы  Лебяжьевского муниципал</w:t>
      </w:r>
      <w:r>
        <w:rPr>
          <w:rFonts w:ascii="Arial" w:hAnsi="Arial" w:cs="Arial"/>
          <w:b/>
        </w:rPr>
        <w:t>ьного округа Курганской области</w:t>
      </w:r>
    </w:p>
    <w:p w:rsidR="00CB61B2" w:rsidRDefault="00CB61B2" w:rsidP="00CB61B2">
      <w:pPr>
        <w:ind w:firstLine="709"/>
        <w:jc w:val="center"/>
        <w:rPr>
          <w:rFonts w:ascii="Arial" w:hAnsi="Arial" w:cs="Arial"/>
          <w:b/>
        </w:rPr>
      </w:pPr>
    </w:p>
    <w:p w:rsidR="00CB61B2" w:rsidRPr="00CB61B2" w:rsidRDefault="00CB61B2" w:rsidP="00CB61B2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избрания и вступления в должность, полномочия Президента Российской Федерации.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избрания, полномочия Губернатора Курганской области.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 Лебяжьевского муниципального округа Курганской области как основной акт в системе правовых актов, особенности принятия и внесения изменений, вступления в силу.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Лебяжьевского муниципального округа: статус, порядок формирования. Наделение органов местного самоуправления отдельными государственными полномочиями.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сроки рассмотрения обращений граждан Российской Федерации.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доступа к информации о деятельности государственных органов 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Виды и порядок принятия муниципальных правовых актов в Лебяжьевском муниципальном округе.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Структура формирования бюджетной системы в соответствии с бюджетным кодексом Российской Федерации.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Местный бюджет: понятие, структура, основные источники формирования, участники бюджетного процесса.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Система налогов в Российской Федерации (виды федеральных, региональных и местных налогов).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Виды дисциплинарных взысканий по Трудовому кодексу Российской Федерации и порядок их применения.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CB61B2" w:rsidRDefault="00CB61B2" w:rsidP="00CB61B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C391A" w:rsidRDefault="008C391A"/>
    <w:sectPr w:rsidR="008C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89D"/>
    <w:multiLevelType w:val="hybridMultilevel"/>
    <w:tmpl w:val="42C6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B2"/>
    <w:rsid w:val="008C391A"/>
    <w:rsid w:val="00C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</cp:revision>
  <dcterms:created xsi:type="dcterms:W3CDTF">2024-01-26T10:26:00Z</dcterms:created>
  <dcterms:modified xsi:type="dcterms:W3CDTF">2024-01-26T10:27:00Z</dcterms:modified>
</cp:coreProperties>
</file>