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202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 внесении изменений в  решение Камышинской сельской Думы                                                                                                             от  23 декабря 2020 года № 31 «</w:t>
      </w:r>
      <w:r>
        <w:rPr>
          <w:rStyle w:val="Style13"/>
          <w:b/>
          <w:bCs/>
        </w:rPr>
        <w:t>О бюджете Камышинского сельсовета на 2021 год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ind w:left="-270" w:right="-45" w:hanging="0"/>
        <w:jc w:val="both"/>
        <w:rPr/>
      </w:pPr>
      <w:r>
        <w:rPr/>
        <w:t xml:space="preserve">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 с  Федеральным    законом  от   6 октября 2003 года 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с   Законом   Курганской   области  от  30  ноября   2020  года   № 107  «О  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образований   путем   объединения   всех   поселений,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- Лебяжьевский   муниципальный   округ   Курганской   области   и 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    в       некоторые      законы      Курганской     области»,      решением     Думы 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    местного     самоуправления    Лебяжьевского     муниципального    округа»,   </w:t>
      </w:r>
      <w:r>
        <w:rPr/>
        <w:t xml:space="preserve">со 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статьей   25   Устава Лебяжьевского  муниципального округа   Курганской   области   Дума</w:t>
      </w:r>
    </w:p>
    <w:p>
      <w:pPr>
        <w:pStyle w:val="Normal"/>
        <w:tabs>
          <w:tab w:val="clear" w:pos="708"/>
        </w:tabs>
        <w:ind w:left="-270" w:right="-45" w:hanging="0"/>
        <w:jc w:val="both"/>
        <w:rPr/>
      </w:pPr>
      <w:r>
        <w:rPr>
          <w:rStyle w:val="Style13"/>
          <w:rFonts w:ascii="PT Astra Serif" w:hAnsi="PT Astra Serif"/>
        </w:rPr>
        <w:t xml:space="preserve">     </w:t>
      </w:r>
      <w:r>
        <w:rPr>
          <w:rStyle w:val="Style13"/>
          <w:rFonts w:ascii="PT Astra Serif" w:hAnsi="PT Astra Serif"/>
        </w:rPr>
        <w:t>Лебяжьевского муниципального округа</w:t>
      </w:r>
    </w:p>
    <w:p>
      <w:pPr>
        <w:pStyle w:val="Normal"/>
        <w:tabs>
          <w:tab w:val="clear" w:pos="708"/>
        </w:tabs>
        <w:ind w:left="-270" w:right="-90" w:hanging="0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Камышинской сельской Думы от 23 декабря 2020 года № 31 «О бюджете Камышинского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«1) общий объем доходов бюджета Камышинского сельсовета в сумме 2338,10475 тыс. рублей, в том числе:</w:t>
      </w:r>
    </w:p>
    <w:p>
      <w:pPr>
        <w:pStyle w:val="Style23"/>
        <w:spacing w:before="0" w:after="0"/>
        <w:jc w:val="both"/>
        <w:rPr/>
      </w:pPr>
      <w:r>
        <w:rPr/>
        <w:t xml:space="preserve">            </w:t>
      </w:r>
      <w:r>
        <w:rPr/>
        <w:t>а) объем налоговых и неналоговых доходов в сумме 639,39202 тыс. рублей;</w:t>
      </w:r>
    </w:p>
    <w:p>
      <w:pPr>
        <w:pStyle w:val="Style23"/>
        <w:spacing w:before="0" w:after="0"/>
        <w:jc w:val="both"/>
        <w:rPr/>
      </w:pPr>
      <w:r>
        <w:rPr/>
        <w:t xml:space="preserve">            </w:t>
      </w:r>
      <w:r>
        <w:rPr/>
        <w:t>б) объем безвозмездных поступлений в сумме 1698,71273 тыс. рублей, в том числе:</w:t>
      </w:r>
    </w:p>
    <w:p>
      <w:pPr>
        <w:pStyle w:val="Style23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1573,31273 тыс. рублей, из них:</w:t>
      </w:r>
    </w:p>
    <w:p>
      <w:pPr>
        <w:pStyle w:val="Style23"/>
        <w:spacing w:before="0" w:after="0"/>
        <w:jc w:val="both"/>
        <w:rPr/>
      </w:pPr>
      <w:r>
        <w:rPr/>
        <w:t xml:space="preserve">            </w:t>
      </w:r>
      <w:r>
        <w:rPr/>
        <w:t>дотации   бюджетам   бюджетной   системы Российской Федерации в сумме 1514,568 тыс. рублей;</w:t>
      </w:r>
    </w:p>
    <w:p>
      <w:pPr>
        <w:pStyle w:val="Style23"/>
        <w:spacing w:before="0" w:after="0"/>
        <w:jc w:val="both"/>
        <w:rPr/>
      </w:pPr>
      <w:r>
        <w:rPr/>
        <w:t xml:space="preserve">   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3"/>
        <w:spacing w:before="0" w:after="0"/>
        <w:jc w:val="both"/>
        <w:rPr/>
      </w:pPr>
      <w:r>
        <w:rPr/>
        <w:t xml:space="preserve">           </w:t>
      </w:r>
      <w:r>
        <w:rPr/>
        <w:t>субвенции    бюджетам    бюджетной   системы   Российской   Федерации   в    сумме 43,74473 тыс. рублей;</w:t>
      </w:r>
    </w:p>
    <w:p>
      <w:pPr>
        <w:pStyle w:val="Style23"/>
        <w:spacing w:before="0" w:after="0"/>
        <w:jc w:val="both"/>
        <w:rPr/>
      </w:pPr>
      <w:r>
        <w:rPr/>
        <w:t xml:space="preserve">            </w:t>
      </w:r>
      <w:r>
        <w:rPr/>
        <w:t>иные межбюджетные трансферты в сумме 15,00 тыс. рублей;</w:t>
      </w:r>
    </w:p>
    <w:p>
      <w:pPr>
        <w:pStyle w:val="Style23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3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125,4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Камышинского сельсовета в сумме 2347,10475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Камышинского сельсовета в сумме 9,00 тыс. рублей.»;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rStyle w:val="Style13"/>
        </w:rPr>
        <w:t>1 изложить в редакции, согласно приложению 1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>
          <w:rStyle w:val="Style13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  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  </w:t>
      </w:r>
      <w:r>
        <w:rPr/>
        <w:t>3. Настоящее решение вступает в силу после его официального опубликования.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0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color w:val="000000"/>
          <w:szCs w:val="24"/>
        </w:rPr>
        <w:t xml:space="preserve">   </w:t>
      </w:r>
      <w:r>
        <w:rPr>
          <w:rStyle w:val="Style13"/>
          <w:rFonts w:cs="Times New Roman" w:ascii="Times New Roman" w:hAnsi="Times New Roman"/>
          <w:color w:val="000000"/>
          <w:szCs w:val="24"/>
        </w:rPr>
        <w:t>4</w:t>
      </w:r>
      <w:r>
        <w:rPr>
          <w:rStyle w:val="Style13"/>
          <w:rFonts w:cs="Times New Roman" w:ascii="Times New Roman" w:hAnsi="Times New Roman"/>
          <w:szCs w:val="24"/>
        </w:rPr>
        <w:t xml:space="preserve">. Контроль    за    выполнением настоящего    решения   возложить    на  постоянную  комиссию      Думы     Лебяжьевского    муниципального    округа    по   бюджету,  финансам и налоговой политике. 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  <w:font w:name="PT Astra Serif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LibreOffice/6.4.4.2$Windows_X86_64 LibreOffice_project/3d775be2011f3886db32dfd395a6a6d1ca2630ff</Application>
  <Pages>2</Pages>
  <Words>447</Words>
  <CharactersWithSpaces>4062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2021-12-21T16:26:43Z</cp:lastPrinted>
  <dcterms:modified xsi:type="dcterms:W3CDTF">2022-01-11T11:27:59Z</dcterms:modified>
  <cp:revision>21</cp:revision>
  <dc:subject/>
  <dc:title>РОССИЙСКАЯ ФЕДЕРАЦИЯ</dc:title>
</cp:coreProperties>
</file>