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142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Баксар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Утвердить ликвидационный баланс Администрации </w:t>
      </w:r>
      <w:r>
        <w:rPr>
          <w:rFonts w:eastAsia="Times New Roman" w:cs="Times New Roman"/>
          <w:sz w:val="24"/>
          <w:szCs w:val="24"/>
          <w:lang w:bidi="ar-SA"/>
        </w:rPr>
        <w:t>Баксар</w:t>
      </w:r>
      <w:r>
        <w:rPr>
          <w:sz w:val="24"/>
          <w:szCs w:val="24"/>
        </w:rPr>
        <w:t>ского    сельсовета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 Настоящее решение вступает в силу после его </w:t>
      </w:r>
      <w:r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 w:val="24"/>
          <w:szCs w:val="24"/>
        </w:rPr>
        <w:t>4.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         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187</Words>
  <CharactersWithSpaces>1906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2021-11-01T10:15:22Z</cp:lastPrinted>
  <dcterms:modified xsi:type="dcterms:W3CDTF">2021-11-10T10:13:00Z</dcterms:modified>
  <cp:revision>9</cp:revision>
  <dc:subject/>
  <dc:title>РОССИЙСКАЯ ФЕДЕРАЦИЯ</dc:title>
</cp:coreProperties>
</file>